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906B7">
      <w:pPr>
        <w:pStyle w:val="1"/>
      </w:pPr>
      <w:r>
        <w:fldChar w:fldCharType="begin"/>
      </w:r>
      <w:r>
        <w:instrText>HYPERLINK "garantF1://7470164.0"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природных ресурсов и экологии Кемеровской области от 22 июня 2012 г. N 113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</w:t>
      </w:r>
      <w:r>
        <w:rPr>
          <w:rStyle w:val="a4"/>
          <w:b w:val="0"/>
          <w:bCs w:val="0"/>
        </w:rPr>
        <w:t>я на территории Кемеровской области"</w:t>
      </w:r>
      <w:r>
        <w:fldChar w:fldCharType="end"/>
      </w:r>
    </w:p>
    <w:p w:rsidR="00000000" w:rsidRDefault="00C906B7">
      <w:pPr>
        <w:pStyle w:val="affd"/>
      </w:pPr>
      <w:r>
        <w:t>С изменениями и дополнениями от:</w:t>
      </w:r>
    </w:p>
    <w:p w:rsidR="00000000" w:rsidRDefault="00C906B7">
      <w:pPr>
        <w:pStyle w:val="af8"/>
      </w:pPr>
      <w:r>
        <w:t>22 октября 2012 г., 15 октября 2013 г.</w:t>
      </w:r>
    </w:p>
    <w:p w:rsidR="00000000" w:rsidRDefault="00C906B7"/>
    <w:p w:rsidR="00000000" w:rsidRDefault="00C906B7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C906B7">
      <w:bookmarkStart w:id="1" w:name="sub_1"/>
      <w:r>
        <w:t xml:space="preserve">1. Утвердить прилагаемый </w:t>
      </w:r>
      <w:hyperlink w:anchor="sub_10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"Проведение госуда</w:t>
      </w:r>
      <w:r>
        <w:t>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Кемеровской области".</w:t>
      </w:r>
    </w:p>
    <w:p w:rsidR="00000000" w:rsidRDefault="00C906B7">
      <w:bookmarkStart w:id="2" w:name="sub_2"/>
      <w:bookmarkEnd w:id="1"/>
      <w:r>
        <w:t xml:space="preserve">2.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природных ресурсов и экологии </w:t>
      </w:r>
      <w:r>
        <w:t>Кемеровской области.</w:t>
      </w:r>
    </w:p>
    <w:p w:rsidR="00000000" w:rsidRDefault="00C906B7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C906B7">
      <w:bookmarkStart w:id="4" w:name="sub_4"/>
      <w:bookmarkEnd w:id="3"/>
      <w:r>
        <w:t xml:space="preserve">4. </w:t>
      </w:r>
      <w:hyperlink r:id="rId10" w:history="1">
        <w:r>
          <w:rPr>
            <w:rStyle w:val="a4"/>
          </w:rPr>
          <w:t>Исключен.</w:t>
        </w:r>
      </w:hyperlink>
    </w:p>
    <w:bookmarkEnd w:id="4"/>
    <w:p w:rsidR="00000000" w:rsidRDefault="00C906B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C906B7">
      <w:pPr>
        <w:pStyle w:val="afb"/>
      </w:pPr>
      <w:bookmarkStart w:id="5" w:name="sub_267654096"/>
      <w:r>
        <w:t xml:space="preserve">См. текст </w:t>
      </w:r>
      <w:hyperlink r:id="rId11" w:history="1">
        <w:r>
          <w:rPr>
            <w:rStyle w:val="a4"/>
          </w:rPr>
          <w:t>пункта 4</w:t>
        </w:r>
      </w:hyperlink>
    </w:p>
    <w:bookmarkEnd w:id="5"/>
    <w:p w:rsidR="00000000" w:rsidRDefault="00C906B7">
      <w:pPr>
        <w:pStyle w:val="afb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C906B7"/>
    <w:p w:rsidR="00000000" w:rsidRDefault="00C906B7">
      <w:pPr>
        <w:pStyle w:val="1"/>
      </w:pPr>
      <w:bookmarkStart w:id="6" w:name="sub_104"/>
      <w:r>
        <w:t xml:space="preserve">Административный регламент </w:t>
      </w:r>
      <w:r>
        <w:br/>
        <w:t>предоставления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</w:t>
      </w:r>
      <w:r>
        <w:t xml:space="preserve">вляемых в пользование участках недр местного значения на территории Кемеровской области"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природных ресурсов и экологии Кемеровской области от 22 июня 2012 г. N 113)</w:t>
      </w:r>
    </w:p>
    <w:bookmarkEnd w:id="6"/>
    <w:p w:rsidR="00000000" w:rsidRDefault="00C906B7"/>
    <w:p w:rsidR="00000000" w:rsidRDefault="00C906B7">
      <w:pPr>
        <w:pStyle w:val="1"/>
      </w:pPr>
      <w:bookmarkStart w:id="7" w:name="sub_11"/>
      <w:r>
        <w:t>1. Общие положения</w:t>
      </w:r>
    </w:p>
    <w:bookmarkEnd w:id="7"/>
    <w:p w:rsidR="00000000" w:rsidRDefault="00C906B7"/>
    <w:p w:rsidR="00000000" w:rsidRDefault="00C906B7">
      <w:bookmarkStart w:id="8" w:name="sub_5"/>
      <w:r>
        <w:t>1.1. Административный регламент предоставления государственной услуги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</w:t>
      </w:r>
      <w:r>
        <w:t>начения на территории Кемеровской области" (далее - административный регламент) разработан в целях повышения качества и доступности результатов предоставления государственной услуги по проведению государственной экспертизы запасов полезных ископаемых, геол</w:t>
      </w:r>
      <w:r>
        <w:t xml:space="preserve">огической, </w:t>
      </w:r>
      <w:r>
        <w:lastRenderedPageBreak/>
        <w:t>экономической и экологической информации о предоставляемых в пользование участках недр местного значения на территории Кемеровской области (далее - государственная услуга), создания комфортных условий для участников отношений, возникающих при пр</w:t>
      </w:r>
      <w:r>
        <w:t>едоставлении государственной услуги, и определяет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000000" w:rsidRDefault="00C906B7">
      <w:bookmarkStart w:id="9" w:name="sub_6"/>
      <w:bookmarkEnd w:id="8"/>
      <w:r>
        <w:t xml:space="preserve">1.2. Заявителями в получении государственной услуги являются </w:t>
      </w:r>
      <w:r>
        <w:t>пользователи недр, владеющие лицензией на пользование участками недр местного значения на территории Кемеровской области (далее - заявители).</w:t>
      </w:r>
    </w:p>
    <w:p w:rsidR="00000000" w:rsidRDefault="00C906B7">
      <w:bookmarkStart w:id="10" w:name="sub_10"/>
      <w:bookmarkEnd w:id="9"/>
      <w:r>
        <w:t>1.3. Требования к информированию о порядке предоставления государственной услуги</w:t>
      </w:r>
    </w:p>
    <w:p w:rsidR="00000000" w:rsidRDefault="00C906B7">
      <w:bookmarkStart w:id="11" w:name="sub_7"/>
      <w:bookmarkEnd w:id="10"/>
      <w:r>
        <w:t>1.3.1. Департамент природных ресурсов и экологии Кемеровской области, предоставляющий государственную услугу, расположен по адресу: 650064, г. Кемерово, проспект Советский, д. 63, кабинет 236 (приемная департамента).</w:t>
      </w:r>
    </w:p>
    <w:bookmarkEnd w:id="11"/>
    <w:p w:rsidR="00000000" w:rsidRDefault="00C906B7">
      <w:r>
        <w:t>Справочные телефоны, факсы: (384-2</w:t>
      </w:r>
      <w:r>
        <w:t>) 58-55-56, факс (384-2) 58-69-91.</w:t>
      </w:r>
    </w:p>
    <w:p w:rsidR="00000000" w:rsidRDefault="00C906B7">
      <w:r>
        <w:t>Справочный телефон отдела недропользования департамента, участвующего в предоставлении государственной услуги: (384-2) 58-77-56.</w:t>
      </w:r>
    </w:p>
    <w:p w:rsidR="00000000" w:rsidRDefault="00C906B7">
      <w:r>
        <w:t xml:space="preserve">Адрес электронной почты: </w:t>
      </w:r>
      <w:hyperlink r:id="rId12" w:history="1">
        <w:r>
          <w:rPr>
            <w:rStyle w:val="a4"/>
          </w:rPr>
          <w:t>kea@ako.ru</w:t>
        </w:r>
      </w:hyperlink>
      <w:r>
        <w:t>.</w:t>
      </w:r>
    </w:p>
    <w:p w:rsidR="00000000" w:rsidRDefault="00C906B7">
      <w:r>
        <w:t xml:space="preserve">Официальный сайт: </w:t>
      </w:r>
      <w:hyperlink r:id="rId13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C906B7">
      <w:r>
        <w:t>Рабочие дни: понедельник, вторник, среда, четверг, пятница.</w:t>
      </w:r>
    </w:p>
    <w:p w:rsidR="00000000" w:rsidRDefault="00C906B7">
      <w:r>
        <w:t>Часы работы: 8.30 - 17.30; перерыв на обед: 12.00 - 13.00; технический перерыв: 11.00 - 11.10.</w:t>
      </w:r>
    </w:p>
    <w:p w:rsidR="00000000" w:rsidRDefault="00C906B7">
      <w:r>
        <w:t>Выходные дни: суббота и воскресенье.</w:t>
      </w:r>
    </w:p>
    <w:p w:rsidR="00000000" w:rsidRDefault="00C906B7">
      <w:pPr>
        <w:pStyle w:val="afa"/>
        <w:rPr>
          <w:color w:val="000000"/>
          <w:sz w:val="16"/>
          <w:szCs w:val="16"/>
        </w:rPr>
      </w:pPr>
      <w:bookmarkStart w:id="12" w:name="sub_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2"/>
    <w:p w:rsidR="00000000" w:rsidRDefault="00C906B7">
      <w:pPr>
        <w:pStyle w:val="afb"/>
      </w:pPr>
      <w:r>
        <w:fldChar w:fldCharType="begin"/>
      </w:r>
      <w:r>
        <w:instrText>HYPERLINK "garantF1://7470189.1"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175 в подпункт 1.3.2 пункта 1.3 настоящего Административного регламента внесены изменения</w:t>
      </w:r>
    </w:p>
    <w:p w:rsidR="00000000" w:rsidRDefault="00C906B7">
      <w:pPr>
        <w:pStyle w:val="afb"/>
      </w:pPr>
      <w:hyperlink r:id="rId1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906B7">
      <w:r>
        <w:t>1.3.2. Порядок получения информации по вопросам предоставления государственной услуги</w:t>
      </w:r>
    </w:p>
    <w:p w:rsidR="00000000" w:rsidRDefault="00C906B7">
      <w:r>
        <w:t>Информация о порядке осуществления государственной услуги предоставляется:</w:t>
      </w:r>
    </w:p>
    <w:p w:rsidR="00000000" w:rsidRDefault="00C906B7">
      <w:r>
        <w:t>в отделе недропользовани</w:t>
      </w:r>
      <w:r>
        <w:t>я (далее - отдел),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000000" w:rsidRDefault="00C906B7">
      <w:r>
        <w:t xml:space="preserve">в федеральной государственной </w:t>
      </w:r>
      <w:hyperlink r:id="rId15" w:history="1">
        <w:r>
          <w:rPr>
            <w:rStyle w:val="a4"/>
          </w:rPr>
          <w:t>информационной системе</w:t>
        </w:r>
      </w:hyperlink>
      <w:r>
        <w:t xml:space="preserve"> "Един</w:t>
      </w:r>
      <w:r>
        <w:t>ый портал государственных и муниципальных услуг (функций)";</w:t>
      </w:r>
    </w:p>
    <w:p w:rsidR="00000000" w:rsidRDefault="00C906B7">
      <w:r>
        <w:t>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- 123, с мобильных</w:t>
      </w:r>
      <w:r>
        <w:t xml:space="preserve"> телефонов - 555-123;</w:t>
      </w:r>
    </w:p>
    <w:p w:rsidR="00000000" w:rsidRDefault="00C906B7">
      <w:bookmarkStart w:id="13" w:name="sub_1001"/>
      <w:r>
        <w:t xml:space="preserve">в многофункциональных центрах предоставления государственных и муниципальных услуг, адреса и телефоны которых размещены на официальном сайте Администрации Кемеровской области: </w:t>
      </w:r>
      <w:hyperlink r:id="rId16" w:history="1">
        <w:r>
          <w:rPr>
            <w:rStyle w:val="a4"/>
          </w:rPr>
          <w:t>www.ako.ru</w:t>
        </w:r>
      </w:hyperlink>
      <w:r>
        <w:t xml:space="preserve"> в ра</w:t>
      </w:r>
      <w:r>
        <w:t>зделе "Многофункциональные центры предоставления государственных и муниципальных услуг.</w:t>
      </w:r>
    </w:p>
    <w:p w:rsidR="00000000" w:rsidRDefault="00C906B7">
      <w:bookmarkStart w:id="14" w:name="sub_9"/>
      <w:bookmarkEnd w:id="13"/>
      <w:r>
        <w:t>1.3.3. Порядок форма и место размещения информации по вопросам предоставления государственной услуги</w:t>
      </w:r>
    </w:p>
    <w:bookmarkEnd w:id="14"/>
    <w:p w:rsidR="00000000" w:rsidRDefault="00C906B7">
      <w:r>
        <w:t>Сведения о местонахождении, контактных телефонах,</w:t>
      </w:r>
      <w:r>
        <w:t xml:space="preserve"> адресе электронной почты, графике работы, сайте департамента размещаются на информационном стенде департамента, а также на информационном Интернет-портале органов государственной власти Кемеровской области </w:t>
      </w:r>
      <w:hyperlink r:id="rId17" w:history="1">
        <w:r>
          <w:rPr>
            <w:rStyle w:val="a4"/>
          </w:rPr>
          <w:t>www.kemobl.ru</w:t>
        </w:r>
      </w:hyperlink>
      <w:r>
        <w:t xml:space="preserve">, официальном сайте департамента </w:t>
      </w:r>
      <w:hyperlink r:id="rId18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C906B7">
      <w:r>
        <w:t>Информация о процедуре предоставления государственной услуги сообщается при личном или письменном обращении получателей государственной услуги, включая обращение по э</w:t>
      </w:r>
      <w:r>
        <w:t xml:space="preserve">лектронной почте, по контактным телефонам (телефонам для справок и консультаций), размещается на информационном стенде комитета, официальном сайте департамента </w:t>
      </w:r>
      <w:hyperlink r:id="rId19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C906B7">
      <w:r>
        <w:t xml:space="preserve">На официальном сайте департамента </w:t>
      </w:r>
      <w:hyperlink r:id="rId20" w:history="1">
        <w:r>
          <w:rPr>
            <w:rStyle w:val="a4"/>
          </w:rPr>
          <w:t>www.kuzbasseco.ru</w:t>
        </w:r>
      </w:hyperlink>
      <w:r>
        <w:t>. размещается следующая информация:</w:t>
      </w:r>
    </w:p>
    <w:p w:rsidR="00000000" w:rsidRDefault="00C906B7">
      <w:r>
        <w:t>нормативные правовые акты (или извлечения из них), содержащие нормы, регулирующие деятельность по предоставлению государственной услуги;</w:t>
      </w:r>
    </w:p>
    <w:p w:rsidR="00000000" w:rsidRDefault="00C906B7">
      <w:r>
        <w:t>текст настоящего административного регламента с приложениями;</w:t>
      </w:r>
    </w:p>
    <w:p w:rsidR="00000000" w:rsidRDefault="00C906B7">
      <w:r>
        <w:t>блок-схема последовательности действий по предоставлению государственной услуги (</w:t>
      </w:r>
      <w:hyperlink w:anchor="sub_101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C906B7">
      <w:r>
        <w:t>Информирование о ходе предост</w:t>
      </w:r>
      <w:r>
        <w:t>авления государственной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000000" w:rsidRDefault="00C906B7">
      <w:r>
        <w:t>Информация об отказе в предоставлении государственной услуги направляется заявителю письмом.</w:t>
      </w:r>
    </w:p>
    <w:p w:rsidR="00000000" w:rsidRDefault="00C906B7"/>
    <w:p w:rsidR="00000000" w:rsidRDefault="00C906B7">
      <w:pPr>
        <w:pStyle w:val="1"/>
      </w:pPr>
      <w:bookmarkStart w:id="15" w:name="sub_44"/>
      <w:r>
        <w:t>2. Стандарт предоставления государственной услуги</w:t>
      </w:r>
    </w:p>
    <w:bookmarkEnd w:id="15"/>
    <w:p w:rsidR="00000000" w:rsidRDefault="00C906B7"/>
    <w:p w:rsidR="00000000" w:rsidRDefault="00C906B7">
      <w:bookmarkStart w:id="16" w:name="sub_12"/>
      <w:r>
        <w:t>2.1. Наименование государственной услуги - "Проведение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на территории Кемеровской</w:t>
      </w:r>
      <w:r>
        <w:t xml:space="preserve"> области".</w:t>
      </w:r>
    </w:p>
    <w:p w:rsidR="00000000" w:rsidRDefault="00C906B7">
      <w:bookmarkStart w:id="17" w:name="sub_13"/>
      <w:bookmarkEnd w:id="16"/>
      <w:r>
        <w:t>2.2. Государственная услуга предоставляется департаментом природных ресурсов и экологии Кемеровской области (далее - департамент) и непосредственно государственными гражданскими служащими отдела недропользования департамента (далее -</w:t>
      </w:r>
      <w:r>
        <w:t xml:space="preserve"> специалисты департамента).</w:t>
      </w:r>
    </w:p>
    <w:bookmarkEnd w:id="17"/>
    <w:p w:rsidR="00000000" w:rsidRDefault="00C906B7">
      <w:r>
        <w:t>При предоставлении государственной услуги специалисты департамента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</w:t>
      </w:r>
      <w:r>
        <w:t>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C906B7">
      <w:bookmarkStart w:id="18" w:name="sub_14"/>
      <w:r>
        <w:t>2.3. Результатом предоставления государственной услуги является заключение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>
        <w:t xml:space="preserve"> на территории Кемеровской области (далее - государственная экспертиза).</w:t>
      </w:r>
    </w:p>
    <w:p w:rsidR="00000000" w:rsidRDefault="00C906B7">
      <w:bookmarkStart w:id="19" w:name="sub_15"/>
      <w:bookmarkEnd w:id="18"/>
      <w:r>
        <w:t>2.4. Срок предоставления государственной услуги</w:t>
      </w:r>
    </w:p>
    <w:bookmarkEnd w:id="19"/>
    <w:p w:rsidR="00000000" w:rsidRDefault="00C906B7">
      <w:r>
        <w:t>Срок предоставления государственной услуги составляет не более 30 календарных дней со дня регистрации полного комплек</w:t>
      </w:r>
      <w:r>
        <w:t>та документов, представленных заявителем в департамент.</w:t>
      </w:r>
    </w:p>
    <w:p w:rsidR="00000000" w:rsidRDefault="00C906B7">
      <w:bookmarkStart w:id="20" w:name="sub_25"/>
      <w:r>
        <w:t>2.5. Предоставление государственной услуги осуществляется в соответствии с:</w:t>
      </w:r>
    </w:p>
    <w:p w:rsidR="00000000" w:rsidRDefault="00C906B7">
      <w:bookmarkStart w:id="21" w:name="sub_16"/>
      <w:bookmarkEnd w:id="20"/>
      <w:r>
        <w:t xml:space="preserve">1) </w:t>
      </w:r>
      <w:hyperlink r:id="rId21" w:history="1">
        <w:r>
          <w:rPr>
            <w:rStyle w:val="a4"/>
          </w:rPr>
          <w:t>Законом</w:t>
        </w:r>
      </w:hyperlink>
      <w:r>
        <w:t xml:space="preserve"> Российской Федерации от 21.02.92 N 2395-1 "О недрах" (Собра</w:t>
      </w:r>
      <w:r>
        <w:t>ние законодательства Российской Федерации, 06.03.95, N 10, ст. 823);</w:t>
      </w:r>
    </w:p>
    <w:p w:rsidR="00000000" w:rsidRDefault="00C906B7">
      <w:bookmarkStart w:id="22" w:name="sub_17"/>
      <w:bookmarkEnd w:id="21"/>
      <w:r>
        <w:t xml:space="preserve">2)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</w:t>
      </w:r>
      <w:r>
        <w:lastRenderedPageBreak/>
        <w:t>предоставления государственных и муниципальных услуг" (Российская газета, 30.</w:t>
      </w:r>
      <w:r>
        <w:t>07.2010, N 168);</w:t>
      </w:r>
    </w:p>
    <w:p w:rsidR="00000000" w:rsidRDefault="00C906B7">
      <w:bookmarkStart w:id="23" w:name="sub_18"/>
      <w:bookmarkEnd w:id="22"/>
      <w:r>
        <w:t xml:space="preserve">3)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11.02.2005 N 69 "О государственной экспертизе запасов полезных ископаемых, геологической, экономической и экологической информации о пр</w:t>
      </w:r>
      <w:r>
        <w:t>едоставляемых в пользование участках недр, размере и порядке взимания платы за ее проведение" (Собрание законодательства Российской Федерации, 21.02.2005, N 8, ст. 651);</w:t>
      </w:r>
    </w:p>
    <w:p w:rsidR="00000000" w:rsidRDefault="00C906B7">
      <w:bookmarkStart w:id="24" w:name="sub_19"/>
      <w:bookmarkEnd w:id="23"/>
      <w:r>
        <w:t xml:space="preserve">4)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</w:t>
      </w:r>
      <w:r>
        <w:t xml:space="preserve"> N 22, ст. 3169);</w:t>
      </w:r>
    </w:p>
    <w:p w:rsidR="00000000" w:rsidRDefault="00C906B7">
      <w:bookmarkStart w:id="25" w:name="sub_20"/>
      <w:bookmarkEnd w:id="24"/>
      <w:r>
        <w:t xml:space="preserve">5) </w:t>
      </w:r>
      <w:hyperlink r:id="rId25" w:history="1">
        <w:r>
          <w:rPr>
            <w:rStyle w:val="a4"/>
          </w:rPr>
          <w:t>Законом</w:t>
        </w:r>
      </w:hyperlink>
      <w:r>
        <w:t xml:space="preserve"> Кемеровской области от 18.01.2007 N 6-ОЗ "О разграничении полномочий между органами государственной власти Кемеровской области в сфере недропользования" (Кузбасс, приложение "Офици</w:t>
      </w:r>
      <w:r>
        <w:t>ально", 26.01.2007, N 14);</w:t>
      </w:r>
    </w:p>
    <w:p w:rsidR="00000000" w:rsidRDefault="00C906B7">
      <w:bookmarkStart w:id="26" w:name="sub_21"/>
      <w:bookmarkEnd w:id="25"/>
      <w:r>
        <w:t xml:space="preserve">6)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25.12.2006 N 262 "Об утверждении Положения о департаменте природных ресурсов и экологии Кемеровской области" (Информац</w:t>
      </w:r>
      <w:r>
        <w:t>ионный бюллетень Коллегии Администрации Кемеровской области, N 12, часть I, 2006);</w:t>
      </w:r>
    </w:p>
    <w:p w:rsidR="00000000" w:rsidRDefault="00C906B7">
      <w:bookmarkStart w:id="27" w:name="sub_22"/>
      <w:bookmarkEnd w:id="26"/>
      <w:r>
        <w:t xml:space="preserve">7) </w:t>
      </w:r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</w:t>
      </w:r>
      <w:r>
        <w:t>ативных регламентов предоставления государственных услуг исполнительными органами государственной власти Кемеровской области" (Электронный бюллетень Коллегии Администрации Кемеровской области 25.06.2011);</w:t>
      </w:r>
    </w:p>
    <w:p w:rsidR="00000000" w:rsidRDefault="00C906B7">
      <w:bookmarkStart w:id="28" w:name="sub_23"/>
      <w:bookmarkEnd w:id="27"/>
      <w:r>
        <w:t xml:space="preserve">8) </w:t>
      </w:r>
      <w:hyperlink r:id="rId28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Коллегии Администрации Кемеровской области от 10.04.2012 N 136 "Об утверждении перечня государственных услуг исполнительных органов государственной власти Кемеровской области" (Электронный бюллетень Коллегии Администрации Кемеровской области </w:t>
      </w:r>
      <w:r>
        <w:t>10.04.2012);</w:t>
      </w:r>
    </w:p>
    <w:p w:rsidR="00000000" w:rsidRDefault="00C906B7">
      <w:bookmarkStart w:id="29" w:name="sub_24"/>
      <w:bookmarkEnd w:id="28"/>
      <w:r>
        <w:t xml:space="preserve">9)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Коллегии Администрации Кемеровской области от 20.07.2006 N 818-р "Об организации проведения государственной экспертизы запасов полезных ископаемых, геологической, экономической и </w:t>
      </w:r>
      <w:r>
        <w:t>экологической информации о предоставляемых в пользование участках недр в части общераспространенных полезных ископаемых" (Информационный бюллетень Администрации Кемеровской области, N 7, часть II, 2006);</w:t>
      </w:r>
    </w:p>
    <w:p w:rsidR="00000000" w:rsidRDefault="00C906B7">
      <w:bookmarkStart w:id="30" w:name="sub_30"/>
      <w:bookmarkEnd w:id="29"/>
      <w:r>
        <w:t xml:space="preserve">2.6. Исчерпывающий перечень документов, </w:t>
      </w:r>
      <w:r>
        <w:t>необходимых для предоставления государственной услуги:</w:t>
      </w:r>
    </w:p>
    <w:p w:rsidR="00000000" w:rsidRDefault="00C906B7">
      <w:bookmarkStart w:id="31" w:name="sub_26"/>
      <w:bookmarkEnd w:id="30"/>
      <w:r>
        <w:t>1) для получения государственной услуги заявитель представляет в департамент заявление (</w:t>
      </w:r>
      <w:hyperlink w:anchor="sub_103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регламенту).</w:t>
      </w:r>
    </w:p>
    <w:p w:rsidR="00000000" w:rsidRDefault="00C906B7">
      <w:bookmarkStart w:id="32" w:name="sub_27"/>
      <w:bookmarkEnd w:id="31"/>
      <w:r>
        <w:t>2) ге</w:t>
      </w:r>
      <w:r>
        <w:t xml:space="preserve">ологический отчет с подсчетом запасов, в соответствии с требованиями </w:t>
      </w:r>
      <w:hyperlink r:id="rId30" w:history="1">
        <w:r>
          <w:rPr>
            <w:rStyle w:val="a4"/>
          </w:rPr>
          <w:t>ГОСТ Р 53579-2009</w:t>
        </w:r>
      </w:hyperlink>
      <w:r>
        <w:t xml:space="preserve"> "Система стандартов в области геологического изучения недр (СОГИН). Отчет о геологическом изучении недр. Общие требования к содержанию</w:t>
      </w:r>
      <w:r>
        <w:t xml:space="preserve"> и оформлению";</w:t>
      </w:r>
    </w:p>
    <w:p w:rsidR="00000000" w:rsidRDefault="00C906B7">
      <w:bookmarkStart w:id="33" w:name="sub_28"/>
      <w:bookmarkEnd w:id="32"/>
      <w:r>
        <w:t>3) справку о геологическом строении месторождения, составе и качестве полезного ископаемого, методике геологоразведочных работ и результате подсчета запасов;</w:t>
      </w:r>
    </w:p>
    <w:p w:rsidR="00000000" w:rsidRDefault="00C906B7">
      <w:bookmarkStart w:id="34" w:name="sub_29"/>
      <w:bookmarkEnd w:id="33"/>
      <w:r>
        <w:t>4) документ, подтверждающий плату за проведение государств</w:t>
      </w:r>
      <w:r>
        <w:t>енной экспертизы.</w:t>
      </w:r>
    </w:p>
    <w:p w:rsidR="00000000" w:rsidRDefault="00C906B7">
      <w:bookmarkStart w:id="35" w:name="sub_31"/>
      <w:bookmarkEnd w:id="34"/>
      <w:r>
        <w:t>2.7. Запрещено требовать от заявителя:</w:t>
      </w:r>
    </w:p>
    <w:bookmarkEnd w:id="35"/>
    <w:p w:rsidR="00000000" w:rsidRDefault="00C906B7"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</w:t>
      </w:r>
      <w:r>
        <w:t xml:space="preserve">озникающие в связи с </w:t>
      </w:r>
      <w:r>
        <w:lastRenderedPageBreak/>
        <w:t>предоставлением государственной услуги;</w:t>
      </w:r>
    </w:p>
    <w:p w:rsidR="00000000" w:rsidRDefault="00C906B7">
      <w:r>
        <w:t>представления документов и информации, которые находятся в распоряжении департамента, иных государственных органов, органов местного самоуправления, организаций, в соответствии с нормативными пра</w:t>
      </w:r>
      <w:r>
        <w:t>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C906B7">
      <w:bookmarkStart w:id="36" w:name="sub_32"/>
      <w:r>
        <w:t>2.8. Основания для отказа в приеме документов, необходимых для предоставления государственной услуги, отсутствуют.</w:t>
      </w:r>
    </w:p>
    <w:p w:rsidR="00000000" w:rsidRDefault="00C906B7">
      <w:pPr>
        <w:pStyle w:val="afa"/>
        <w:rPr>
          <w:color w:val="000000"/>
          <w:sz w:val="16"/>
          <w:szCs w:val="16"/>
        </w:rPr>
      </w:pPr>
      <w:bookmarkStart w:id="37" w:name="sub_33"/>
      <w:bookmarkEnd w:id="3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7"/>
    <w:p w:rsidR="00000000" w:rsidRDefault="00C906B7">
      <w:pPr>
        <w:pStyle w:val="afb"/>
      </w:pPr>
      <w:r>
        <w:fldChar w:fldCharType="begin"/>
      </w:r>
      <w:r>
        <w:instrText>HYPERLINK "garantF1://7470189.2"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175 в пункт 2.9 настоящего Административного регламента внесены изменения</w:t>
      </w:r>
    </w:p>
    <w:p w:rsidR="00000000" w:rsidRDefault="00C906B7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06B7">
      <w:r>
        <w:t>2.9. Основаниями для отказа в предоставлении государственной услуги являются:</w:t>
      </w:r>
    </w:p>
    <w:p w:rsidR="00000000" w:rsidRDefault="00C906B7">
      <w:r>
        <w:t xml:space="preserve">непредставление заявителем (или представление не в полном объеме) документов, указанных в </w:t>
      </w:r>
      <w:hyperlink w:anchor="sub_30" w:history="1">
        <w:r>
          <w:rPr>
            <w:rStyle w:val="a4"/>
          </w:rPr>
          <w:t>пункте 2.6</w:t>
        </w:r>
      </w:hyperlink>
      <w:r>
        <w:t xml:space="preserve"> настоящего административного регламента.</w:t>
      </w:r>
    </w:p>
    <w:p w:rsidR="00000000" w:rsidRDefault="00C906B7">
      <w:bookmarkStart w:id="38" w:name="sub_34"/>
      <w:r>
        <w:t>2.10. Основания для приостановления предоставления государственной услуги отсутствуют.</w:t>
      </w:r>
    </w:p>
    <w:p w:rsidR="00000000" w:rsidRDefault="00C906B7">
      <w:bookmarkStart w:id="39" w:name="sub_35"/>
      <w:bookmarkEnd w:id="38"/>
      <w:r>
        <w:t>2.11. Размер платы, взимаемой с заявителя при предоставлении государственной услуги</w:t>
      </w:r>
    </w:p>
    <w:bookmarkEnd w:id="39"/>
    <w:p w:rsidR="00000000" w:rsidRDefault="00C906B7">
      <w:r>
        <w:t xml:space="preserve">Государственная экспертиза запасов осуществляется на платной основе. Размер платы за проведение государственной экспертизы и порядок ее взимания определен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11.02.2005</w:t>
      </w:r>
      <w:r>
        <w:t xml:space="preserve"> N 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и приводится в </w:t>
      </w:r>
      <w:hyperlink w:anchor="sub_102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регламенту.</w:t>
      </w:r>
    </w:p>
    <w:p w:rsidR="00000000" w:rsidRDefault="00C906B7">
      <w:r>
        <w:t>Плата за проведение государственной экспертизы перечисляется заявителем в доход бюджета Кемеровской области.</w:t>
      </w:r>
    </w:p>
    <w:p w:rsidR="00000000" w:rsidRDefault="00C906B7">
      <w:pPr>
        <w:pStyle w:val="afa"/>
        <w:rPr>
          <w:color w:val="000000"/>
          <w:sz w:val="16"/>
          <w:szCs w:val="16"/>
        </w:rPr>
      </w:pPr>
      <w:bookmarkStart w:id="40" w:name="sub_36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C906B7">
      <w:pPr>
        <w:pStyle w:val="afb"/>
      </w:pPr>
      <w:r>
        <w:fldChar w:fldCharType="begin"/>
      </w:r>
      <w:r>
        <w:instrText>HYPERLINK "garantF1://7470189.3"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</w:t>
      </w:r>
      <w:r>
        <w:t>ртамента природных ресурсов и экологии Кемеровской области от 15 октября 2013 г. N 175 в пункт 2.12 настоящего Административного регламента внесены изменения</w:t>
      </w:r>
    </w:p>
    <w:p w:rsidR="00000000" w:rsidRDefault="00C906B7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06B7">
      <w:r>
        <w:t>2.12. Срок ожидания в о</w:t>
      </w:r>
      <w:r>
        <w:t>череди при подаче заявления о предоставлении государственной услуги</w:t>
      </w:r>
    </w:p>
    <w:p w:rsidR="00000000" w:rsidRDefault="00C906B7">
      <w:r>
        <w:t>Максимальный срок ожидания в очереди при подаче заявления о предоставлении государственной услуги - 15 минут.</w:t>
      </w:r>
    </w:p>
    <w:p w:rsidR="00000000" w:rsidRDefault="00C906B7">
      <w:bookmarkStart w:id="41" w:name="sub_37"/>
      <w:r>
        <w:t>2.13. Срок регистрации заявления заявителя о предоставлении государствен</w:t>
      </w:r>
      <w:r>
        <w:t>ной услуги</w:t>
      </w:r>
    </w:p>
    <w:bookmarkEnd w:id="41"/>
    <w:p w:rsidR="00000000" w:rsidRDefault="00C906B7">
      <w:r>
        <w:t>Регистрация заявления заявителя о предоставлении государственной услуги осуществляется в день подачи заявления и документов в течение 30 минут.</w:t>
      </w:r>
    </w:p>
    <w:p w:rsidR="00000000" w:rsidRDefault="00C906B7">
      <w:bookmarkStart w:id="42" w:name="sub_42"/>
      <w:r>
        <w:t>2.14. Требования к помещениям, в которых предоставляется государственная услуга.</w:t>
      </w:r>
    </w:p>
    <w:p w:rsidR="00000000" w:rsidRDefault="00C906B7">
      <w:bookmarkStart w:id="43" w:name="sub_38"/>
      <w:bookmarkEnd w:id="42"/>
      <w:r>
        <w:t>1) Помещения для предоставления государственной услуги обеспечиваются необходимым для предоставления государственной услуги оборудованием (компьютерами, средствами связи, включая Интернет, оргтехникой), канцелярскими принадлежностями, информационными и</w:t>
      </w:r>
      <w:r>
        <w:t xml:space="preserve"> справочными материалами, стульями и </w:t>
      </w:r>
      <w:r>
        <w:lastRenderedPageBreak/>
        <w:t>столами, средствами пожаротушения и оповещения о возникновении чрезвычайной ситуации.</w:t>
      </w:r>
    </w:p>
    <w:p w:rsidR="00000000" w:rsidRDefault="00C906B7">
      <w:bookmarkStart w:id="44" w:name="sub_39"/>
      <w:bookmarkEnd w:id="43"/>
      <w:r>
        <w:t>2) В местах предоставления государственной услуги предусматривается оборудование доступных мест общего пользования (туале</w:t>
      </w:r>
      <w:r>
        <w:t>тов) и хранения верхней одежды посетителей.</w:t>
      </w:r>
    </w:p>
    <w:p w:rsidR="00000000" w:rsidRDefault="00C906B7">
      <w:bookmarkStart w:id="45" w:name="sub_40"/>
      <w:bookmarkEnd w:id="44"/>
      <w:r>
        <w:t>3) Каждое рабочее место специалиста департамента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00000" w:rsidRDefault="00C906B7">
      <w:bookmarkStart w:id="46" w:name="sub_41"/>
      <w:bookmarkEnd w:id="45"/>
      <w:r>
        <w:t>4)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00000" w:rsidRDefault="00C906B7">
      <w:pPr>
        <w:pStyle w:val="afa"/>
        <w:rPr>
          <w:color w:val="000000"/>
          <w:sz w:val="16"/>
          <w:szCs w:val="16"/>
        </w:rPr>
      </w:pPr>
      <w:bookmarkStart w:id="47" w:name="sub_43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906B7">
      <w:pPr>
        <w:pStyle w:val="afb"/>
      </w:pPr>
      <w:r>
        <w:fldChar w:fldCharType="begin"/>
      </w:r>
      <w:r>
        <w:instrText>HYPERLINK "garantF1://7470189.4"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</w:t>
      </w:r>
      <w:r>
        <w:t>ии Кемеровской области от 15 октября 2013 г. N 175 в пункт 2.15 настоящего Административного регламента внесены изменения</w:t>
      </w:r>
    </w:p>
    <w:p w:rsidR="00000000" w:rsidRDefault="00C906B7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06B7">
      <w:r>
        <w:t>2.15. Показателями доступности и качества предоставления го</w:t>
      </w:r>
      <w:r>
        <w:t>сударственной услуги является:</w:t>
      </w:r>
    </w:p>
    <w:p w:rsidR="00000000" w:rsidRDefault="00C906B7">
      <w:r>
        <w:t>расположенность в зоне доступности к основным транспортным магистралям, хорошие подъездные дороги;</w:t>
      </w:r>
    </w:p>
    <w:p w:rsidR="00000000" w:rsidRDefault="00C906B7">
      <w:r>
        <w:t>открытый доступ для заявителей к информации о порядке и сроках предоставления государственной услуги, порядке обжалования дейс</w:t>
      </w:r>
      <w:r>
        <w:t>твий (бездействия) должностных лиц департамента;</w:t>
      </w:r>
    </w:p>
    <w:p w:rsidR="00000000" w:rsidRDefault="00C906B7">
      <w:r>
        <w:t>соблюдение стандарта предоставления государственной услуги;</w:t>
      </w:r>
    </w:p>
    <w:p w:rsidR="00000000" w:rsidRDefault="00C906B7">
      <w:r>
        <w:t>наличие необходимого и достаточного количества специалистов департамента, а также помещений, в которых осуществляются прием документов от заявителе</w:t>
      </w:r>
      <w:r>
        <w:t>й (их представителей);</w:t>
      </w:r>
    </w:p>
    <w:p w:rsidR="00000000" w:rsidRDefault="00C906B7">
      <w:r>
        <w:t>отсутствие жалоб заявителей на действия (бездействия) должностных лиц департамента при предоставлении государственной услуги;</w:t>
      </w:r>
    </w:p>
    <w:p w:rsidR="00000000" w:rsidRDefault="00C906B7">
      <w:bookmarkStart w:id="48" w:name="sub_1002"/>
      <w:r>
        <w:t xml:space="preserve">предоставление государственной услуги в многофункциональных центрах предоставления государственных </w:t>
      </w:r>
      <w:r>
        <w:t>и муниципальных услуг не предусмотрено.</w:t>
      </w:r>
    </w:p>
    <w:p w:rsidR="00000000" w:rsidRDefault="00C906B7">
      <w:pPr>
        <w:pStyle w:val="afa"/>
        <w:rPr>
          <w:color w:val="000000"/>
          <w:sz w:val="16"/>
          <w:szCs w:val="16"/>
        </w:rPr>
      </w:pPr>
      <w:bookmarkStart w:id="49" w:name="sub_1003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C906B7">
      <w:pPr>
        <w:pStyle w:val="afb"/>
      </w:pPr>
      <w:r>
        <w:fldChar w:fldCharType="begin"/>
      </w:r>
      <w:r>
        <w:instrText>HYPERLINK "garantF1://7470189.7"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</w:t>
      </w:r>
      <w:r>
        <w:t>175 настоящий Административный регламент дополнен пунктом 2.16</w:t>
      </w:r>
    </w:p>
    <w:p w:rsidR="00000000" w:rsidRDefault="00C906B7">
      <w:r>
        <w:t xml:space="preserve">2.16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</w:t>
      </w:r>
      <w:r>
        <w:t>предоставления государственной услуги в электронной форме</w:t>
      </w:r>
    </w:p>
    <w:p w:rsidR="00000000" w:rsidRDefault="00C906B7">
      <w:bookmarkStart w:id="50" w:name="sub_1004"/>
      <w:r>
        <w:t>2.16.1. В случае подачи заявления о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</w:t>
      </w:r>
      <w:r>
        <w:t xml:space="preserve"> участках недр с использованием электронной почты или через единый портал государственных и муниципальных услуг допускается представление перечисленных в </w:t>
      </w:r>
      <w:hyperlink w:anchor="sub_30" w:history="1">
        <w:r>
          <w:rPr>
            <w:rStyle w:val="a4"/>
          </w:rPr>
          <w:t>пункте 2.6</w:t>
        </w:r>
      </w:hyperlink>
      <w:r>
        <w:t>. настоящего Административного регламента документов посредством использования электронной почты.</w:t>
      </w:r>
    </w:p>
    <w:p w:rsidR="00000000" w:rsidRDefault="00C906B7">
      <w:bookmarkStart w:id="51" w:name="sub_1005"/>
      <w:bookmarkEnd w:id="50"/>
      <w:r>
        <w:t>2.16.2. В том случае, если объем предоставляемой информации превышает технические возможности электронной почты, материалы могут быть представ</w:t>
      </w:r>
      <w:r>
        <w:t>лены на оптических носителях либо на сменных USB-накопителях.</w:t>
      </w:r>
    </w:p>
    <w:bookmarkEnd w:id="51"/>
    <w:p w:rsidR="00000000" w:rsidRDefault="00C906B7"/>
    <w:p w:rsidR="00000000" w:rsidRDefault="00C906B7">
      <w:pPr>
        <w:pStyle w:val="1"/>
      </w:pPr>
      <w:bookmarkStart w:id="52" w:name="sub_70"/>
      <w: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bookmarkEnd w:id="52"/>
    <w:p w:rsidR="00000000" w:rsidRDefault="00C906B7"/>
    <w:p w:rsidR="00000000" w:rsidRDefault="00C906B7">
      <w:r>
        <w:t>Предоставление государственной услуги включает в себя следующ</w:t>
      </w:r>
      <w:r>
        <w:t>ие административные процедуры:</w:t>
      </w:r>
    </w:p>
    <w:p w:rsidR="00000000" w:rsidRDefault="00C906B7">
      <w:r>
        <w:t>прием и регистрация документов;</w:t>
      </w:r>
    </w:p>
    <w:p w:rsidR="00000000" w:rsidRDefault="00C906B7">
      <w:r>
        <w:t>проверка комплектности документов заявителя;</w:t>
      </w:r>
    </w:p>
    <w:p w:rsidR="00000000" w:rsidRDefault="00C906B7">
      <w:r>
        <w:t>проведение государственной экспертизы;</w:t>
      </w:r>
    </w:p>
    <w:p w:rsidR="00000000" w:rsidRDefault="00C906B7">
      <w:r>
        <w:t>Последовательность административных действий приведена в блок-схеме предоставления государственной услуги (</w:t>
      </w:r>
      <w:hyperlink w:anchor="sub_101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C906B7">
      <w:bookmarkStart w:id="53" w:name="sub_49"/>
      <w:r>
        <w:t>3.1. Прием и регистрация документов от заявителя</w:t>
      </w:r>
    </w:p>
    <w:p w:rsidR="00000000" w:rsidRDefault="00C906B7">
      <w:bookmarkStart w:id="54" w:name="sub_45"/>
      <w:bookmarkEnd w:id="53"/>
      <w:r>
        <w:t xml:space="preserve">3.1.1. Основанием для начала административной процедуры является подача заявление заявителем в департамент </w:t>
      </w:r>
      <w:r>
        <w:t xml:space="preserve">о проведении государственной экспертизы запасов с приложением документов, указанных в </w:t>
      </w:r>
      <w:hyperlink w:anchor="sub_30" w:history="1">
        <w:r>
          <w:rPr>
            <w:rStyle w:val="a4"/>
          </w:rPr>
          <w:t>пункте 2.6.</w:t>
        </w:r>
      </w:hyperlink>
      <w:r>
        <w:t xml:space="preserve"> настоящего административного регламента (далее - заявочные материалы).</w:t>
      </w:r>
    </w:p>
    <w:p w:rsidR="00000000" w:rsidRDefault="00C906B7">
      <w:bookmarkStart w:id="55" w:name="sub_46"/>
      <w:bookmarkEnd w:id="54"/>
      <w:r>
        <w:t>3.1.2. Специалист департамента, ответственный за пр</w:t>
      </w:r>
      <w:r>
        <w:t>ием и регистрацию документов регистрирует заявочные материалы в день их подачи путем проставления регистрационного штампа в правой нижней части заявления (регистрационный штамп содержит наименование департамента, дату и входящий номер).</w:t>
      </w:r>
    </w:p>
    <w:p w:rsidR="00000000" w:rsidRDefault="00C906B7">
      <w:bookmarkStart w:id="56" w:name="sub_47"/>
      <w:bookmarkEnd w:id="55"/>
      <w:r>
        <w:t xml:space="preserve">3.1.3. </w:t>
      </w:r>
      <w:r>
        <w:t>В течение 1 рабочего дня со дня регистрации документов специалист департамента, ответственный за прием и регистрацию документов, направляет заявочные материалы на рассмотрение в отдел недропользования департамента.</w:t>
      </w:r>
    </w:p>
    <w:p w:rsidR="00000000" w:rsidRDefault="00C906B7">
      <w:bookmarkStart w:id="57" w:name="sub_48"/>
      <w:bookmarkEnd w:id="56"/>
      <w:r>
        <w:t>3.1.4. Общий срок администрат</w:t>
      </w:r>
      <w:r>
        <w:t>ивной процедуры не должен превышать 2 рабочих дней.</w:t>
      </w:r>
    </w:p>
    <w:p w:rsidR="00000000" w:rsidRDefault="00C906B7">
      <w:bookmarkStart w:id="58" w:name="sub_56"/>
      <w:bookmarkEnd w:id="57"/>
      <w:r>
        <w:t>3.2. Проверка комплектности документов заявителя</w:t>
      </w:r>
    </w:p>
    <w:p w:rsidR="00000000" w:rsidRDefault="00C906B7">
      <w:bookmarkStart w:id="59" w:name="sub_50"/>
      <w:bookmarkEnd w:id="58"/>
      <w:r>
        <w:t>3.2.1. Основанием для начала административной процедуры является регистрация заявочных материалов заявителя и передача их в отдел н</w:t>
      </w:r>
      <w:r>
        <w:t>едропользования департамента.</w:t>
      </w:r>
    </w:p>
    <w:p w:rsidR="00000000" w:rsidRDefault="00C906B7">
      <w:bookmarkStart w:id="60" w:name="sub_51"/>
      <w:bookmarkEnd w:id="59"/>
      <w:r>
        <w:t>3.2.2. Специалисты департамента, ответственные за проведение государственной экспертизы, в течение 3 рабочих дней с момента поступления в отдел недропользования департамента заявочных материалов осуществляет провер</w:t>
      </w:r>
      <w:r>
        <w:t>ку комплектности представленных документов.</w:t>
      </w:r>
    </w:p>
    <w:p w:rsidR="00000000" w:rsidRDefault="00C906B7">
      <w:bookmarkStart w:id="61" w:name="sub_52"/>
      <w:bookmarkEnd w:id="60"/>
      <w:r>
        <w:t xml:space="preserve">3.2.3. В случае если комплект заявочных материалов не соответствует перечню, указанному в </w:t>
      </w:r>
      <w:hyperlink w:anchor="sub_30" w:history="1">
        <w:r>
          <w:rPr>
            <w:rStyle w:val="a4"/>
          </w:rPr>
          <w:t>пункте 2.6</w:t>
        </w:r>
      </w:hyperlink>
      <w:r>
        <w:t>. настоящего административного регламента, специалист департамента в течение</w:t>
      </w:r>
      <w:r>
        <w:t xml:space="preserve"> 1 рабочего дня, следующего за днем окончания проверки комплектности представленных документов, готовит проект письма департамента об отказе в предоставлении государственной услуги с указанием причин отказа и направляет его на подпись начальнику департамен</w:t>
      </w:r>
      <w:r>
        <w:t>та.</w:t>
      </w:r>
    </w:p>
    <w:p w:rsidR="00000000" w:rsidRDefault="00C906B7">
      <w:bookmarkStart w:id="62" w:name="sub_53"/>
      <w:bookmarkEnd w:id="61"/>
      <w:r>
        <w:t>3.2.4. В течение двух календарных дней с момента подписания письма об отказе специалист департамента направляет его заявителю заказным письмом.</w:t>
      </w:r>
    </w:p>
    <w:p w:rsidR="00000000" w:rsidRDefault="00C906B7">
      <w:bookmarkStart w:id="63" w:name="sub_54"/>
      <w:bookmarkEnd w:id="62"/>
      <w:r>
        <w:t xml:space="preserve">3.2.5. В случае если представленные заявочные материалы соответствуют требованиям </w:t>
      </w:r>
      <w:hyperlink w:anchor="sub_30" w:history="1">
        <w:r>
          <w:rPr>
            <w:rStyle w:val="a4"/>
          </w:rPr>
          <w:t>пункта 2.6</w:t>
        </w:r>
      </w:hyperlink>
      <w:r>
        <w:t>. настоящего административного регламента, специалист департамента направляет их в экспертную комиссию по запасам, состав которой формируется из штатных сотрудников департамента (далее - комиссия по запасам) и утверждается н</w:t>
      </w:r>
      <w:r>
        <w:t>ачальником департамента.</w:t>
      </w:r>
    </w:p>
    <w:p w:rsidR="00000000" w:rsidRDefault="00C906B7">
      <w:bookmarkStart w:id="64" w:name="sub_55"/>
      <w:bookmarkEnd w:id="63"/>
      <w:r>
        <w:t>3.2.6. Общий срок административной процедуры не должен превышать 5 рабочих дней.</w:t>
      </w:r>
    </w:p>
    <w:p w:rsidR="00000000" w:rsidRDefault="00C906B7">
      <w:bookmarkStart w:id="65" w:name="sub_69"/>
      <w:bookmarkEnd w:id="64"/>
      <w:r>
        <w:t>3.3. Проведение государственной экспертизы</w:t>
      </w:r>
    </w:p>
    <w:p w:rsidR="00000000" w:rsidRDefault="00C906B7">
      <w:bookmarkStart w:id="66" w:name="sub_57"/>
      <w:bookmarkEnd w:id="65"/>
      <w:r>
        <w:t>3.3.1. Основанием для начала административной процедуры является оконча</w:t>
      </w:r>
      <w:r>
        <w:t xml:space="preserve">ние </w:t>
      </w:r>
      <w:r>
        <w:lastRenderedPageBreak/>
        <w:t>проверки пакета заявочных материалов и поступление их в комиссию по запасам для проведения государственной экспертизы.</w:t>
      </w:r>
    </w:p>
    <w:p w:rsidR="00000000" w:rsidRDefault="00C906B7">
      <w:bookmarkStart w:id="67" w:name="sub_62"/>
      <w:bookmarkEnd w:id="66"/>
      <w:r>
        <w:t>3.3.2. Государственная экспертиза проводится экспертной комиссией по запасам путем проведения анализа документов и матери</w:t>
      </w:r>
      <w:r>
        <w:t>алов по:</w:t>
      </w:r>
    </w:p>
    <w:p w:rsidR="00000000" w:rsidRDefault="00C906B7">
      <w:bookmarkStart w:id="68" w:name="sub_58"/>
      <w:bookmarkEnd w:id="67"/>
      <w:r>
        <w:t>1) подсчету запасов полезных ископаемых всех вовлекаемых в освоение и разрабатываемых участков недр местного значения вне зависимости от вида, количества, качества и направления использования полезных ископаемых;</w:t>
      </w:r>
    </w:p>
    <w:p w:rsidR="00000000" w:rsidRDefault="00C906B7">
      <w:bookmarkStart w:id="69" w:name="sub_59"/>
      <w:bookmarkEnd w:id="68"/>
      <w:r>
        <w:t>2) оперативному изменению состояния запасов полезных ископаемых по результатам геолого-разведочных работ и переоценки этих запасов;</w:t>
      </w:r>
    </w:p>
    <w:p w:rsidR="00000000" w:rsidRDefault="00C906B7">
      <w:bookmarkStart w:id="70" w:name="sub_60"/>
      <w:bookmarkEnd w:id="69"/>
      <w:r>
        <w:t>3) геологической информации об участках недр, используемых для строительства и эксплуатации подземных сооружений</w:t>
      </w:r>
      <w:r>
        <w:t xml:space="preserve"> местного и регионального значения, не связанных с добычей полезных ископаемых;</w:t>
      </w:r>
    </w:p>
    <w:p w:rsidR="00000000" w:rsidRDefault="00C906B7">
      <w:bookmarkStart w:id="71" w:name="sub_61"/>
      <w:bookmarkEnd w:id="70"/>
      <w:r>
        <w:t>4) подсчету запасов полезных ископаемых выявленных участков недр местного значения.</w:t>
      </w:r>
    </w:p>
    <w:p w:rsidR="00000000" w:rsidRDefault="00C906B7">
      <w:bookmarkStart w:id="72" w:name="sub_63"/>
      <w:bookmarkEnd w:id="71"/>
      <w:r>
        <w:t>3.3.3. Результаты государственной экспертизы излагаются в заключении</w:t>
      </w:r>
      <w:r>
        <w:t>, которое подписывается членами комиссии по запасам.</w:t>
      </w:r>
    </w:p>
    <w:p w:rsidR="00000000" w:rsidRDefault="00C906B7">
      <w:bookmarkStart w:id="73" w:name="sub_64"/>
      <w:bookmarkEnd w:id="72"/>
      <w:r>
        <w:t>3.3.4. Заключение государственной экспертизы должно содержать оценку:</w:t>
      </w:r>
    </w:p>
    <w:bookmarkEnd w:id="73"/>
    <w:p w:rsidR="00000000" w:rsidRDefault="00C906B7">
      <w:r>
        <w:t xml:space="preserve">соответствия представленных материалов требованиям </w:t>
      </w:r>
      <w:hyperlink r:id="rId35" w:history="1">
        <w:r>
          <w:rPr>
            <w:rStyle w:val="a4"/>
          </w:rPr>
          <w:t>ГОСТ Р 53579-2009</w:t>
        </w:r>
      </w:hyperlink>
      <w:r>
        <w:t xml:space="preserve"> (полнота и </w:t>
      </w:r>
      <w:r>
        <w:t>качество текста, наличие необходимых графических и текстовых приложений);</w:t>
      </w:r>
    </w:p>
    <w:p w:rsidR="00000000" w:rsidRDefault="00C906B7">
      <w:r>
        <w:t>обоснованности авторских выводов о строении месторождения, морфологии тел полезного ископаемого, их внутреннем строении и условиях залегания, качестве разведанного сырья;</w:t>
      </w:r>
    </w:p>
    <w:p w:rsidR="00000000" w:rsidRDefault="00C906B7">
      <w:r>
        <w:t>соответстви</w:t>
      </w:r>
      <w:r>
        <w:t>я методики и объемов геологоразведочных работ особенностям геологического строения месторождения;</w:t>
      </w:r>
    </w:p>
    <w:p w:rsidR="00000000" w:rsidRDefault="00C906B7">
      <w:r>
        <w:t>точности и достоверности опробования для определения химического состава, технологических и физических свойств полезного ископаемого, качества аналитических р</w:t>
      </w:r>
      <w:r>
        <w:t>абот и технологических исследований;</w:t>
      </w:r>
    </w:p>
    <w:p w:rsidR="00000000" w:rsidRDefault="00C906B7">
      <w:r>
        <w:t>соответствия запасов полезного ископаемого, его качества, технологических свойств и горно-геологических условий разработки, приведенных в отчете, кондиции и техническим условиям, принятым при обосновании проведения рабо</w:t>
      </w:r>
      <w:r>
        <w:t>т;</w:t>
      </w:r>
    </w:p>
    <w:p w:rsidR="00000000" w:rsidRDefault="00C906B7">
      <w:r>
        <w:t>обоснованности принятых методов подсчета запасов и распределения запасов по категориям;</w:t>
      </w:r>
    </w:p>
    <w:p w:rsidR="00000000" w:rsidRDefault="00C906B7">
      <w:r>
        <w:t>влияния разработки месторождения на окружающую среду.</w:t>
      </w:r>
    </w:p>
    <w:p w:rsidR="00000000" w:rsidRDefault="00C906B7">
      <w:bookmarkStart w:id="74" w:name="sub_65"/>
      <w:r>
        <w:t>3.3.5. Заключение государственной экспертизы должно содержать выводы:</w:t>
      </w:r>
    </w:p>
    <w:bookmarkEnd w:id="74"/>
    <w:p w:rsidR="00000000" w:rsidRDefault="00C906B7">
      <w:r>
        <w:t>о достоверности и правильност</w:t>
      </w:r>
      <w:r>
        <w:t>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000000" w:rsidRDefault="00C906B7">
      <w:r>
        <w:t>об обоснованности переоценки запа</w:t>
      </w:r>
      <w:r>
        <w:t>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000000" w:rsidRDefault="00C906B7">
      <w:r>
        <w:t>об обоснованности постановки на территориальный баланс запасов полезных ископаемых и их списания с территориального бала</w:t>
      </w:r>
      <w:r>
        <w:t>нса, а также внесения изменений, связанных с оперативным учетом изменения запасов;</w:t>
      </w:r>
    </w:p>
    <w:p w:rsidR="00000000" w:rsidRDefault="00C906B7">
      <w:r>
        <w:t>о возможности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000000" w:rsidRDefault="00C906B7">
      <w:bookmarkStart w:id="75" w:name="sub_66"/>
      <w:r>
        <w:t xml:space="preserve">3.3.6. На итоговом заседании комиссии по запасам заслушиваются сообщение заявителя о содержании представленных материалов и заключение экспертной </w:t>
      </w:r>
      <w:r>
        <w:lastRenderedPageBreak/>
        <w:t>комиссии.</w:t>
      </w:r>
    </w:p>
    <w:bookmarkEnd w:id="75"/>
    <w:p w:rsidR="00000000" w:rsidRDefault="00C906B7">
      <w:r>
        <w:t>По результатам проведенного заседания оформляется протокол о рассмотрении заключения госуд</w:t>
      </w:r>
      <w:r>
        <w:t>арственной экспертизы, который утверждается начальником департамента.</w:t>
      </w:r>
    </w:p>
    <w:p w:rsidR="00000000" w:rsidRDefault="00C906B7">
      <w:r>
        <w:t>К протоколу прилагается заключение государственной экспертизы по представленным заявочным материалам, которое является его неотъемлемой частью.</w:t>
      </w:r>
    </w:p>
    <w:p w:rsidR="00000000" w:rsidRDefault="00C906B7">
      <w:bookmarkStart w:id="76" w:name="sub_67"/>
      <w:r>
        <w:t>3.3.7. Срок проведения государственн</w:t>
      </w:r>
      <w:r>
        <w:t>ой экспертизы составляет 30 календарных дней.</w:t>
      </w:r>
    </w:p>
    <w:bookmarkEnd w:id="76"/>
    <w:p w:rsidR="00000000" w:rsidRDefault="00C906B7">
      <w:r>
        <w:t>В случае необходимости департамент вправе запросить дополнительную информацию, уточняющую заявочные материалы, представленные заявителем. При этом срок проведения экспертизы на основании решения начальник</w:t>
      </w:r>
      <w:r>
        <w:t>а департамента может быть продлен, но не более чем на 30 календарных дней.</w:t>
      </w:r>
    </w:p>
    <w:p w:rsidR="00000000" w:rsidRDefault="00C906B7">
      <w:r>
        <w:t>Максимальный срок административной процедуры не должен превышать 30 календарных дней со дня поступления в департамент заявочных материалов.</w:t>
      </w:r>
    </w:p>
    <w:p w:rsidR="00000000" w:rsidRDefault="00C906B7">
      <w:bookmarkStart w:id="77" w:name="sub_68"/>
      <w:r>
        <w:t>3.3.8. Протокол с заключением госуд</w:t>
      </w:r>
      <w:r>
        <w:t>арственной экспертизы в одном экземпляре в течение 5 дней с даты его утверждения вручается заявителю (либо его представителю) под роспись, либо направляется по почте заказной корреспонденцией с уведомлением.</w:t>
      </w:r>
    </w:p>
    <w:bookmarkEnd w:id="77"/>
    <w:p w:rsidR="00000000" w:rsidRDefault="00C906B7"/>
    <w:p w:rsidR="00000000" w:rsidRDefault="00C906B7">
      <w:pPr>
        <w:pStyle w:val="1"/>
      </w:pPr>
      <w:bookmarkStart w:id="78" w:name="sub_75"/>
      <w:r>
        <w:t>4. Формы контроля за исполнением ад</w:t>
      </w:r>
      <w:r>
        <w:t>министративного регламента</w:t>
      </w:r>
    </w:p>
    <w:bookmarkEnd w:id="78"/>
    <w:p w:rsidR="00000000" w:rsidRDefault="00C906B7"/>
    <w:p w:rsidR="00000000" w:rsidRDefault="00C906B7">
      <w:bookmarkStart w:id="79" w:name="sub_71"/>
      <w:r>
        <w:t xml:space="preserve">4.1.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осуществляется должностными лицами департамента, ответственными </w:t>
      </w:r>
      <w:r>
        <w:t>за организацию работы, в ходе предоставления государственной услуги (далее - должностное лицо).</w:t>
      </w:r>
    </w:p>
    <w:bookmarkEnd w:id="79"/>
    <w:p w:rsidR="00000000" w:rsidRDefault="00C906B7">
      <w:r>
        <w:t>Перечень должностных лиц, периодичность осуществления текущего контроля устанавливается приказами начальника департамента.</w:t>
      </w:r>
    </w:p>
    <w:p w:rsidR="00000000" w:rsidRDefault="00C906B7">
      <w:r>
        <w:t>Текущий контроль осуществляется путем проведения должностным лицом проверок соблюдения и исполнения должностными лицами департамента административного регламента, иных нормативных правовых актов Российской Федерации.</w:t>
      </w:r>
    </w:p>
    <w:p w:rsidR="00000000" w:rsidRDefault="00C906B7">
      <w:bookmarkStart w:id="80" w:name="sub_72"/>
      <w:r>
        <w:t>4.2. Контроль за полнотой и качес</w:t>
      </w:r>
      <w:r>
        <w:t>твом предоставления государственной услуги включает в себя проведение проверок, выявление и устранение нарушения порядка и сроков предоставления государственной услуги.</w:t>
      </w:r>
    </w:p>
    <w:bookmarkEnd w:id="80"/>
    <w:p w:rsidR="00000000" w:rsidRDefault="00C906B7">
      <w:r>
        <w:t xml:space="preserve">Проверки полноты и качества предоставления государственной услуги осуществляются </w:t>
      </w:r>
      <w:r>
        <w:t>комиссией, которая формируется на основании приказа департамента. Результат деятельности комиссии оформляется в виде акта, в котором отмечаются выявленные недостатки и предложения по их устранению. Акт подписывается председателем и членами комиссии, утверж</w:t>
      </w:r>
      <w:r>
        <w:t>дается начальником департамента.</w:t>
      </w:r>
    </w:p>
    <w:p w:rsidR="00000000" w:rsidRDefault="00C906B7">
      <w:bookmarkStart w:id="81" w:name="sub_73"/>
      <w:r>
        <w:t>4.3. По результатам проведенных проверок в случае выявления нарушений порядка и сроков предоставления государственной услуги осуществляется привлечение виновных лиц к ответственности в соответствии с законодательством</w:t>
      </w:r>
      <w:r>
        <w:t xml:space="preserve"> Российской Федерации.</w:t>
      </w:r>
    </w:p>
    <w:p w:rsidR="00000000" w:rsidRDefault="00C906B7">
      <w:bookmarkStart w:id="82" w:name="sub_74"/>
      <w:bookmarkEnd w:id="81"/>
      <w:r>
        <w:t>4.4. Персональная ответственность специалистов, должностных лиц закрепляется в их должностных регламентах в соответствии с требованиями законодательства.</w:t>
      </w:r>
    </w:p>
    <w:bookmarkEnd w:id="82"/>
    <w:p w:rsidR="00000000" w:rsidRDefault="00C906B7"/>
    <w:p w:rsidR="00000000" w:rsidRDefault="00C906B7">
      <w:pPr>
        <w:pStyle w:val="afa"/>
        <w:rPr>
          <w:color w:val="000000"/>
          <w:sz w:val="16"/>
          <w:szCs w:val="16"/>
        </w:rPr>
      </w:pPr>
      <w:bookmarkStart w:id="83" w:name="sub_9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C906B7">
      <w:pPr>
        <w:pStyle w:val="afb"/>
      </w:pPr>
      <w:r>
        <w:lastRenderedPageBreak/>
        <w:fldChar w:fldCharType="begin"/>
      </w:r>
      <w:r>
        <w:instrText>HYPERLINK "garantF1://</w:instrText>
      </w:r>
      <w:r>
        <w:instrText>7470189.55"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175 раздел 5 настоящего Административного регламента изложен в новой редакции</w:t>
      </w:r>
    </w:p>
    <w:p w:rsidR="00000000" w:rsidRDefault="00C906B7">
      <w:pPr>
        <w:pStyle w:val="afb"/>
      </w:pPr>
      <w:hyperlink r:id="rId36" w:history="1">
        <w:r>
          <w:rPr>
            <w:rStyle w:val="a4"/>
          </w:rPr>
          <w:t>См. текст раздела в предыдущей реда</w:t>
        </w:r>
        <w:r>
          <w:rPr>
            <w:rStyle w:val="a4"/>
          </w:rPr>
          <w:t>кции</w:t>
        </w:r>
      </w:hyperlink>
    </w:p>
    <w:p w:rsidR="00000000" w:rsidRDefault="00C906B7">
      <w:pPr>
        <w:pStyle w:val="1"/>
      </w:pPr>
      <w:r>
        <w:t>5. Досудебный (внесудебный) порядок обжалования решений и действий (бездействия) департамента, а также должностных лиц, государственных гражданских служащих</w:t>
      </w:r>
    </w:p>
    <w:p w:rsidR="00000000" w:rsidRDefault="00C906B7"/>
    <w:p w:rsidR="00000000" w:rsidRDefault="00C906B7">
      <w:bookmarkStart w:id="84" w:name="sub_83"/>
      <w:r>
        <w:t>5.1. Заявители имеют право обжаловать действия (бездействие) и решения, принятые (ос</w:t>
      </w:r>
      <w:r>
        <w:t>уществляемые) в ходе предоставления государственной услуги, в досудебном (внесудебном) порядке.</w:t>
      </w:r>
    </w:p>
    <w:p w:rsidR="00000000" w:rsidRDefault="00C906B7">
      <w:bookmarkStart w:id="85" w:name="sub_84"/>
      <w:bookmarkEnd w:id="84"/>
      <w:r>
        <w:t>5.2. Жалоба подается в департамент в письменной форме, в том числе при личном приеме заявителя или в электронном виде.</w:t>
      </w:r>
    </w:p>
    <w:p w:rsidR="00000000" w:rsidRDefault="00C906B7">
      <w:bookmarkStart w:id="86" w:name="sub_85"/>
      <w:bookmarkEnd w:id="85"/>
      <w:r>
        <w:t>5.3. Жалоба должн</w:t>
      </w:r>
      <w:r>
        <w:t>а содержать:</w:t>
      </w:r>
    </w:p>
    <w:p w:rsidR="00000000" w:rsidRDefault="00C906B7">
      <w:bookmarkStart w:id="87" w:name="sub_1006"/>
      <w:bookmarkEnd w:id="86"/>
      <w:r>
        <w:t>1) наименование департамента, должностного лица департамента или государственного гражданского служащего, решения и действия (бездействие) которого обжалуются;</w:t>
      </w:r>
    </w:p>
    <w:p w:rsidR="00000000" w:rsidRDefault="00C906B7">
      <w:bookmarkStart w:id="88" w:name="sub_1007"/>
      <w:bookmarkEnd w:id="87"/>
      <w:r>
        <w:t>2) фамилию, имя, отчество (при наличии), сведения о м</w:t>
      </w:r>
      <w:r>
        <w:t xml:space="preserve">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</w:t>
      </w:r>
      <w:r>
        <w:t>направлен ответ заявителю;</w:t>
      </w:r>
    </w:p>
    <w:p w:rsidR="00000000" w:rsidRDefault="00C906B7">
      <w:bookmarkStart w:id="89" w:name="sub_1008"/>
      <w:bookmarkEnd w:id="88"/>
      <w:r>
        <w:t>3) сведения об обжалуемых решениях и действиях (бездействии) департамента, должностного лица департамента или государственного гражданского служащего;</w:t>
      </w:r>
    </w:p>
    <w:p w:rsidR="00000000" w:rsidRDefault="00C906B7">
      <w:bookmarkStart w:id="90" w:name="sub_1009"/>
      <w:bookmarkEnd w:id="89"/>
      <w:r>
        <w:t>4) доводы, на основании которых заявитель не с</w:t>
      </w:r>
      <w:r>
        <w:t>огласен с решением и действием (бездействием) департамента, должностного лица департамента или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C906B7">
      <w:bookmarkStart w:id="91" w:name="sub_90"/>
      <w:bookmarkEnd w:id="90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</w:t>
      </w:r>
      <w:r>
        <w:t>аявителя, может быть представлена:</w:t>
      </w:r>
    </w:p>
    <w:p w:rsidR="00000000" w:rsidRDefault="00C906B7">
      <w:bookmarkStart w:id="92" w:name="sub_86"/>
      <w:bookmarkEnd w:id="91"/>
      <w:r>
        <w:t>1) оформленная в соответствии с законодательством Российской Федерации доверенность (для физических лиц);</w:t>
      </w:r>
    </w:p>
    <w:p w:rsidR="00000000" w:rsidRDefault="00C906B7">
      <w:bookmarkStart w:id="93" w:name="sub_87"/>
      <w:bookmarkEnd w:id="92"/>
      <w:r>
        <w:t>2) оформленная в соответствии с законодательством Российской Федерации доверенность, завере</w:t>
      </w:r>
      <w:r>
        <w:t>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C906B7">
      <w:bookmarkStart w:id="94" w:name="sub_88"/>
      <w:bookmarkEnd w:id="93"/>
      <w:r>
        <w:t>3) копия решения о назначении или об избрании либо приказа о назначении физического лица на должность, в соответстви</w:t>
      </w:r>
      <w:r>
        <w:t>и с которым такое физическое лицо обладает правом действовать от имени заявителя без доверенности.</w:t>
      </w:r>
    </w:p>
    <w:p w:rsidR="00000000" w:rsidRDefault="00C906B7">
      <w:bookmarkStart w:id="95" w:name="sub_91"/>
      <w:bookmarkEnd w:id="94"/>
      <w:r>
        <w:t>5.5. Жалоба в письменной форме может быть также направлена по почте.</w:t>
      </w:r>
    </w:p>
    <w:p w:rsidR="00000000" w:rsidRDefault="00C906B7">
      <w:bookmarkStart w:id="96" w:name="sub_94"/>
      <w:bookmarkEnd w:id="95"/>
      <w:r>
        <w:t>5.6. В случае подачи жалобы при личном приеме заявитель представ</w:t>
      </w:r>
      <w:r>
        <w:t>ляет документ, удостоверяющий его личность в соответствии с законодательством Российской Федерации.</w:t>
      </w:r>
    </w:p>
    <w:p w:rsidR="00000000" w:rsidRDefault="00C906B7">
      <w:bookmarkStart w:id="97" w:name="sub_95"/>
      <w:bookmarkEnd w:id="96"/>
      <w:r>
        <w:t>5.7. В электронном виде жалоба может быть подана заявителем посредством:</w:t>
      </w:r>
    </w:p>
    <w:p w:rsidR="00000000" w:rsidRDefault="00C906B7">
      <w:bookmarkStart w:id="98" w:name="sub_1010"/>
      <w:bookmarkEnd w:id="97"/>
      <w:r>
        <w:t xml:space="preserve">а) официального сайта департамента </w:t>
      </w:r>
      <w:hyperlink r:id="rId37" w:history="1">
        <w:r>
          <w:rPr>
            <w:rStyle w:val="a4"/>
          </w:rPr>
          <w:t>www.kuzbasseco.ru</w:t>
        </w:r>
      </w:hyperlink>
      <w:r>
        <w:t>, в информационно-телекоммуникационной сети "Интернет";</w:t>
      </w:r>
    </w:p>
    <w:p w:rsidR="00000000" w:rsidRDefault="00C906B7">
      <w:bookmarkStart w:id="99" w:name="sub_1011"/>
      <w:bookmarkEnd w:id="98"/>
      <w:r>
        <w:t xml:space="preserve">б) через </w:t>
      </w:r>
      <w:hyperlink r:id="rId38" w:history="1">
        <w:r>
          <w:rPr>
            <w:rStyle w:val="a4"/>
          </w:rPr>
          <w:t>Единый портал</w:t>
        </w:r>
      </w:hyperlink>
      <w:r>
        <w:t>;</w:t>
      </w:r>
    </w:p>
    <w:p w:rsidR="00000000" w:rsidRDefault="00C906B7">
      <w:bookmarkStart w:id="100" w:name="sub_1012"/>
      <w:bookmarkEnd w:id="99"/>
      <w:r>
        <w:t xml:space="preserve">в) </w:t>
      </w:r>
      <w:hyperlink r:id="rId39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Кемеровской области </w:t>
      </w:r>
      <w:r>
        <w:lastRenderedPageBreak/>
        <w:t>"Региональный портал государственных и муниципальных услуг" (далее - Региональный портал).</w:t>
      </w:r>
    </w:p>
    <w:p w:rsidR="00000000" w:rsidRDefault="00C906B7">
      <w:bookmarkStart w:id="101" w:name="sub_96"/>
      <w:bookmarkEnd w:id="100"/>
      <w:r>
        <w:t xml:space="preserve">5.8. При подаче жалобы в электронном виде документы, указанные в </w:t>
      </w:r>
      <w:hyperlink w:anchor="sub_90" w:history="1">
        <w:r>
          <w:rPr>
            <w:rStyle w:val="a4"/>
          </w:rPr>
          <w:t>пун</w:t>
        </w:r>
        <w:r>
          <w:rPr>
            <w:rStyle w:val="a4"/>
          </w:rPr>
          <w:t>кте 5.4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C906B7">
      <w:bookmarkStart w:id="102" w:name="sub_97"/>
      <w:bookmarkEnd w:id="101"/>
      <w:r>
        <w:t>5.9. Жалоба в письменной форме подается на имя начальника департамента по адресу: 650064, г. Кемерово, пр. Советский, д. 63.</w:t>
      </w:r>
    </w:p>
    <w:bookmarkEnd w:id="102"/>
    <w:p w:rsidR="00000000" w:rsidRDefault="00C906B7">
      <w:r>
        <w:t xml:space="preserve">Жалоба по электронной почте направляется на адрес департамента: </w:t>
      </w:r>
      <w:hyperlink r:id="rId40" w:history="1">
        <w:r>
          <w:rPr>
            <w:rStyle w:val="a4"/>
          </w:rPr>
          <w:t>kea@ako.ru</w:t>
        </w:r>
      </w:hyperlink>
      <w:r>
        <w:t>.</w:t>
      </w:r>
      <w:r>
        <w:t xml:space="preserve"> Жалоба рассматривается начальником департамента либо его заместителем. В случае если обжалуются решения руководителя департамента, жалоба направляется заместителю Губернатора Кемеровской области (по природным ресурсам и экологии) и рассматривается им в по</w:t>
      </w:r>
      <w:r>
        <w:t>рядке, предусмотренном действующим законодательством.</w:t>
      </w:r>
    </w:p>
    <w:p w:rsidR="00000000" w:rsidRDefault="00C906B7">
      <w:r>
        <w:t>В случае если принятие решения по жалобе не входит в компетенцию департамента то, в течение 3 рабочих дней со дня регистрации жалобы департамент направляет жалобу в уполномоченный на ее рассмотрение орг</w:t>
      </w:r>
      <w:r>
        <w:t>ан и в письменной форме информирует заявителя о перенаправлении жалобы.</w:t>
      </w:r>
    </w:p>
    <w:p w:rsidR="00000000" w:rsidRDefault="00C906B7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C906B7">
      <w:bookmarkStart w:id="103" w:name="sub_1013"/>
      <w:r>
        <w:t>5.10. Все жалобы на действия (бездействие) и решения, принят</w:t>
      </w:r>
      <w:r>
        <w:t>ые (осуществляемые) в ходе предоставления государственной услуги на основании настоящего регламента, не позднее следующего рабочего дня со дня их поступления в департамент регистрируются в журнале входящей корреспонденции.</w:t>
      </w:r>
    </w:p>
    <w:p w:rsidR="00000000" w:rsidRDefault="00C906B7">
      <w:bookmarkStart w:id="104" w:name="sub_1014"/>
      <w:bookmarkEnd w:id="103"/>
      <w:r>
        <w:t>5.11. Заявитель м</w:t>
      </w:r>
      <w:r>
        <w:t>ожет обратиться с жалобой, в том числе, в следующих случаях:</w:t>
      </w:r>
    </w:p>
    <w:p w:rsidR="00000000" w:rsidRDefault="00C906B7">
      <w:bookmarkStart w:id="105" w:name="sub_1015"/>
      <w:bookmarkEnd w:id="104"/>
      <w:r>
        <w:t>1) нарушение срока регистрации заявления о проведении государственной экспертизы запасов полезных ископаемых, геологической, экономической и экологической информации;</w:t>
      </w:r>
    </w:p>
    <w:p w:rsidR="00000000" w:rsidRDefault="00C906B7">
      <w:bookmarkStart w:id="106" w:name="sub_1016"/>
      <w:bookmarkEnd w:id="105"/>
      <w:r>
        <w:t>2) нарушение срока предоставления государственной услуги;</w:t>
      </w:r>
    </w:p>
    <w:p w:rsidR="00000000" w:rsidRDefault="00C906B7">
      <w:bookmarkStart w:id="107" w:name="sub_1017"/>
      <w:bookmarkEnd w:id="106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</w:t>
      </w:r>
      <w:r>
        <w:t xml:space="preserve"> государственной услуги;</w:t>
      </w:r>
    </w:p>
    <w:p w:rsidR="00000000" w:rsidRDefault="00C906B7">
      <w:bookmarkStart w:id="108" w:name="sub_1018"/>
      <w:bookmarkEnd w:id="107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услуги;</w:t>
      </w:r>
    </w:p>
    <w:p w:rsidR="00000000" w:rsidRDefault="00C906B7">
      <w:bookmarkStart w:id="109" w:name="sub_1019"/>
      <w:bookmarkEnd w:id="108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Кемеровск</w:t>
      </w:r>
      <w:r>
        <w:t>ой области;</w:t>
      </w:r>
    </w:p>
    <w:p w:rsidR="00000000" w:rsidRDefault="00C906B7">
      <w:bookmarkStart w:id="110" w:name="sub_1020"/>
      <w:bookmarkEnd w:id="109"/>
      <w:r>
        <w:t>6) затребование с заявителей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C906B7">
      <w:bookmarkStart w:id="111" w:name="sub_1021"/>
      <w:bookmarkEnd w:id="110"/>
      <w:r>
        <w:t>7) отказ в и</w:t>
      </w:r>
      <w:r>
        <w:t>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C906B7">
      <w:bookmarkStart w:id="112" w:name="sub_1022"/>
      <w:bookmarkEnd w:id="111"/>
      <w:r>
        <w:t>5.12. Жалоба, поступившая в департамент, подлежит рассмотрению в течение</w:t>
      </w:r>
      <w:r>
        <w:t xml:space="preserve"> 15 рабочих дней со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</w:t>
      </w:r>
      <w:r>
        <w:t>их дней со дня ее регистрации.</w:t>
      </w:r>
    </w:p>
    <w:p w:rsidR="00000000" w:rsidRDefault="00C906B7">
      <w:bookmarkStart w:id="113" w:name="sub_1023"/>
      <w:bookmarkEnd w:id="112"/>
      <w:r>
        <w:lastRenderedPageBreak/>
        <w:t>5.13.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C906B7">
      <w:bookmarkStart w:id="114" w:name="sub_1024"/>
      <w:bookmarkEnd w:id="113"/>
      <w:r>
        <w:t xml:space="preserve">5.14. </w:t>
      </w:r>
      <w:r>
        <w:t>В ответе по результатам рассмотрения жалобы указываются:</w:t>
      </w:r>
    </w:p>
    <w:p w:rsidR="00000000" w:rsidRDefault="00C906B7">
      <w:bookmarkStart w:id="115" w:name="sub_1025"/>
      <w:bookmarkEnd w:id="114"/>
      <w:r>
        <w:t>а) наименование департамента,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C906B7">
      <w:bookmarkStart w:id="116" w:name="sub_1026"/>
      <w:bookmarkEnd w:id="115"/>
      <w:r>
        <w:t>б) номер, дат</w:t>
      </w:r>
      <w:r>
        <w:t>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C906B7">
      <w:bookmarkStart w:id="117" w:name="sub_1027"/>
      <w:bookmarkEnd w:id="116"/>
      <w:r>
        <w:t>в) фамилия, имя, отчество (при наличии) или наименование заявителя;</w:t>
      </w:r>
    </w:p>
    <w:p w:rsidR="00000000" w:rsidRDefault="00C906B7">
      <w:bookmarkStart w:id="118" w:name="sub_1028"/>
      <w:bookmarkEnd w:id="117"/>
      <w:r>
        <w:t>г) основания для принятия решения по</w:t>
      </w:r>
      <w:r>
        <w:t xml:space="preserve"> жалобе;</w:t>
      </w:r>
    </w:p>
    <w:p w:rsidR="00000000" w:rsidRDefault="00C906B7">
      <w:bookmarkStart w:id="119" w:name="sub_1029"/>
      <w:bookmarkEnd w:id="118"/>
      <w:r>
        <w:t>д) принятое по жалобе решение;</w:t>
      </w:r>
    </w:p>
    <w:p w:rsidR="00000000" w:rsidRDefault="00C906B7">
      <w:bookmarkStart w:id="120" w:name="sub_1030"/>
      <w:bookmarkEnd w:id="119"/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C906B7">
      <w:bookmarkStart w:id="121" w:name="sub_1031"/>
      <w:bookmarkEnd w:id="120"/>
      <w:r>
        <w:t xml:space="preserve">ж) сведения о </w:t>
      </w:r>
      <w:r>
        <w:t>порядке обжалования принятого по жалобе решения.</w:t>
      </w:r>
    </w:p>
    <w:p w:rsidR="00000000" w:rsidRDefault="00C906B7">
      <w:bookmarkStart w:id="122" w:name="sub_1032"/>
      <w:bookmarkEnd w:id="121"/>
      <w:r>
        <w:t>5.15. Департамент отказывает в удовлетворении жалобы в следующих случаях:</w:t>
      </w:r>
    </w:p>
    <w:p w:rsidR="00000000" w:rsidRDefault="00C906B7">
      <w:bookmarkStart w:id="123" w:name="sub_1033"/>
      <w:bookmarkEnd w:id="122"/>
      <w:r>
        <w:t xml:space="preserve">а) наличие вступившего в законную силу решения суда, арбитражного суда по жалобе о том же предмете и </w:t>
      </w:r>
      <w:r>
        <w:t>по тем же основаниям;</w:t>
      </w:r>
    </w:p>
    <w:p w:rsidR="00000000" w:rsidRDefault="00C906B7">
      <w:bookmarkStart w:id="124" w:name="sub_1034"/>
      <w:bookmarkEnd w:id="123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C906B7">
      <w:bookmarkStart w:id="125" w:name="sub_1035"/>
      <w:bookmarkEnd w:id="124"/>
      <w:r>
        <w:t>в) наличие решения по жалобе, принятого ранее в соответствии с требованиями н</w:t>
      </w:r>
      <w:r>
        <w:t>астоящего регламента в отношении того же заявителя и по тому же предмету жалобы.</w:t>
      </w:r>
    </w:p>
    <w:p w:rsidR="00000000" w:rsidRDefault="00C906B7">
      <w:bookmarkStart w:id="126" w:name="sub_1036"/>
      <w:bookmarkEnd w:id="125"/>
      <w:r>
        <w:t>5.16. Департамент вправе оставить жалобу без ответа в следующих случаях:</w:t>
      </w:r>
    </w:p>
    <w:p w:rsidR="00000000" w:rsidRDefault="00C906B7">
      <w:bookmarkStart w:id="127" w:name="sub_1037"/>
      <w:bookmarkEnd w:id="126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C906B7">
      <w:bookmarkStart w:id="128" w:name="sub_1038"/>
      <w:bookmarkEnd w:id="127"/>
      <w:r>
        <w:t>б) отсутствие возможности прочитать какую-либо часть текста жалобы, фамилию, имя, отчество (при на</w:t>
      </w:r>
      <w:r>
        <w:t>личии) и (или) почтовый адрес заявителя, указанные в жалобе.</w:t>
      </w:r>
    </w:p>
    <w:p w:rsidR="00000000" w:rsidRDefault="00C906B7">
      <w:bookmarkStart w:id="129" w:name="sub_1039"/>
      <w:bookmarkEnd w:id="128"/>
      <w:r>
        <w:t>5.17. В случае установления в ходе или по результатам рассмотрения жалобы признаков состава административного правонарушения или преступления начальник департамента незамедлительн</w:t>
      </w:r>
      <w:r>
        <w:t>о направляет имеющиеся материалы в уполномоченные органы.</w:t>
      </w:r>
    </w:p>
    <w:p w:rsidR="00000000" w:rsidRDefault="00C906B7">
      <w:bookmarkStart w:id="130" w:name="sub_1040"/>
      <w:bookmarkEnd w:id="129"/>
      <w:r>
        <w:t>5.18. Решения и действия (бездействие) департамента, его должностных лиц могут быть обжалованы в судебном порядке, предусмотренном законодательством Российской Федерации.</w:t>
      </w:r>
    </w:p>
    <w:bookmarkEnd w:id="130"/>
    <w:p w:rsidR="00000000" w:rsidRDefault="00C906B7"/>
    <w:p w:rsidR="00000000" w:rsidRDefault="00C906B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Н</w:t>
            </w:r>
            <w:r>
              <w:t xml:space="preserve">ачальник департамента природных ресурсов </w:t>
            </w:r>
            <w:r>
              <w:br/>
              <w:t>и экологии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C906B7"/>
    <w:p w:rsidR="00000000" w:rsidRDefault="00C906B7">
      <w:pPr>
        <w:jc w:val="right"/>
      </w:pPr>
      <w:bookmarkStart w:id="131" w:name="sub_102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департамента природных ресурсов и экологии </w:t>
      </w:r>
      <w:r>
        <w:rPr>
          <w:rStyle w:val="a3"/>
        </w:rPr>
        <w:br/>
        <w:t>Кемеровской области по исполнению государстве</w:t>
      </w:r>
      <w:r>
        <w:rPr>
          <w:rStyle w:val="a3"/>
        </w:rPr>
        <w:t>нной услуги</w:t>
      </w:r>
      <w:r>
        <w:rPr>
          <w:rStyle w:val="a3"/>
        </w:rPr>
        <w:br/>
        <w:t xml:space="preserve"> "Проведение государственной экспертизы запасов</w:t>
      </w:r>
      <w:r>
        <w:rPr>
          <w:rStyle w:val="a3"/>
        </w:rPr>
        <w:br/>
        <w:t xml:space="preserve"> полезных ископаемых, геологической, экономической </w:t>
      </w:r>
      <w:r>
        <w:rPr>
          <w:rStyle w:val="a3"/>
        </w:rPr>
        <w:br/>
        <w:t>и экологической информации о предоставляемых в пользование</w:t>
      </w:r>
      <w:r>
        <w:rPr>
          <w:rStyle w:val="a3"/>
        </w:rPr>
        <w:br/>
        <w:t xml:space="preserve"> участках недр местного значения на территории Кемеровской области"</w:t>
      </w:r>
    </w:p>
    <w:bookmarkEnd w:id="131"/>
    <w:p w:rsidR="00000000" w:rsidRDefault="00C906B7"/>
    <w:p w:rsidR="00000000" w:rsidRDefault="00C906B7">
      <w:pPr>
        <w:pStyle w:val="1"/>
      </w:pPr>
      <w:r>
        <w:t xml:space="preserve">Размер </w:t>
      </w:r>
      <w:r>
        <w:br/>
        <w:t>п</w:t>
      </w:r>
      <w:r>
        <w:t>латы за предоставление государственной услуги</w:t>
      </w:r>
      <w:hyperlink w:anchor="sub_105" w:history="1">
        <w:r>
          <w:rPr>
            <w:rStyle w:val="a4"/>
            <w:b w:val="0"/>
            <w:bCs w:val="0"/>
          </w:rPr>
          <w:t>*</w:t>
        </w:r>
      </w:hyperlink>
    </w:p>
    <w:p w:rsidR="00000000" w:rsidRDefault="00C906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2"/>
        <w:gridCol w:w="2797"/>
        <w:gridCol w:w="2243"/>
        <w:gridCol w:w="18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Вид полезного ископаемого,</w:t>
            </w:r>
          </w:p>
          <w:p w:rsidR="00000000" w:rsidRDefault="00C906B7">
            <w:pPr>
              <w:pStyle w:val="afff0"/>
            </w:pPr>
            <w:r>
              <w:t>участка недр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Документы и материалы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Категории месторождений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Размер платы</w:t>
            </w:r>
          </w:p>
          <w:p w:rsidR="00000000" w:rsidRDefault="00C906B7">
            <w:pPr>
              <w:pStyle w:val="afff0"/>
            </w:pPr>
            <w:r>
              <w:t>(тыс. 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Документы и материалы по подсчету запасов всех вовлекаемых в освоение и разрабатываемых месторождений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крупные</w:t>
            </w:r>
          </w:p>
          <w:p w:rsidR="00000000" w:rsidRDefault="00C906B7">
            <w:pPr>
              <w:pStyle w:val="afff0"/>
            </w:pPr>
            <w:r>
              <w:t>(свыше 5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средние</w:t>
            </w:r>
          </w:p>
          <w:p w:rsidR="00000000" w:rsidRDefault="00C906B7">
            <w:pPr>
              <w:pStyle w:val="afff0"/>
            </w:pPr>
            <w:r>
              <w:t>(1 - 5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мелкие</w:t>
            </w:r>
          </w:p>
          <w:p w:rsidR="00000000" w:rsidRDefault="00C906B7">
            <w:pPr>
              <w:pStyle w:val="afff0"/>
            </w:pPr>
            <w:r>
              <w:t>(до 1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Документы и материалы по технико-экономическому обоснованию кондиции для подсчета запасов твердых полезных ископаемых в недрах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крупные</w:t>
            </w:r>
          </w:p>
          <w:p w:rsidR="00000000" w:rsidRDefault="00C906B7">
            <w:pPr>
              <w:pStyle w:val="afff0"/>
            </w:pPr>
            <w:r>
              <w:t>(свыше 5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средние</w:t>
            </w:r>
          </w:p>
          <w:p w:rsidR="00000000" w:rsidRDefault="00C906B7">
            <w:pPr>
              <w:pStyle w:val="afff0"/>
            </w:pPr>
            <w:r>
              <w:t>(1 - 5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мелкие</w:t>
            </w:r>
          </w:p>
          <w:p w:rsidR="00000000" w:rsidRDefault="00C906B7">
            <w:pPr>
              <w:pStyle w:val="afff0"/>
            </w:pPr>
            <w:r>
              <w:t>(до 1 млн. м3)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Документы и материалы по оперативному изменению состояния запасов твердых полезных ископаемых по результатам геологоразведочных работ и переоценки этих запасов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для всех категорий месторождений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для всех категорий месторождений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906B7">
            <w:pPr>
              <w:pStyle w:val="afff0"/>
            </w:pPr>
            <w:r>
              <w:t>25</w:t>
            </w:r>
          </w:p>
        </w:tc>
      </w:tr>
    </w:tbl>
    <w:p w:rsidR="00000000" w:rsidRDefault="00C906B7"/>
    <w:p w:rsidR="00000000" w:rsidRDefault="00C906B7">
      <w:bookmarkStart w:id="132" w:name="sub_105"/>
      <w:r>
        <w:t xml:space="preserve">* плата за проведение государственной экспертизы утверждена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февраля 2005 года N 69.</w:t>
      </w:r>
    </w:p>
    <w:bookmarkEnd w:id="132"/>
    <w:p w:rsidR="00000000" w:rsidRDefault="00C906B7"/>
    <w:p w:rsidR="00000000" w:rsidRDefault="00C906B7">
      <w:pPr>
        <w:jc w:val="right"/>
      </w:pPr>
      <w:bookmarkStart w:id="133" w:name="sub_101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департамента природных ресурсов и экологии </w:t>
      </w:r>
      <w:r>
        <w:rPr>
          <w:rStyle w:val="a3"/>
        </w:rPr>
        <w:br/>
        <w:t>Кемеровской области по исполнению государст</w:t>
      </w:r>
      <w:r>
        <w:rPr>
          <w:rStyle w:val="a3"/>
        </w:rPr>
        <w:t>венной услуги</w:t>
      </w:r>
      <w:r>
        <w:rPr>
          <w:rStyle w:val="a3"/>
        </w:rPr>
        <w:br/>
        <w:t xml:space="preserve"> "Проведение государственной экспертизы запасов</w:t>
      </w:r>
      <w:r>
        <w:rPr>
          <w:rStyle w:val="a3"/>
        </w:rPr>
        <w:br/>
        <w:t xml:space="preserve"> полезных ископаемых, геологической, экономической </w:t>
      </w:r>
      <w:r>
        <w:rPr>
          <w:rStyle w:val="a3"/>
        </w:rPr>
        <w:br/>
        <w:t>и экологической информации о предоставляемых в пользование</w:t>
      </w:r>
      <w:r>
        <w:rPr>
          <w:rStyle w:val="a3"/>
        </w:rPr>
        <w:br/>
        <w:t xml:space="preserve"> участках недр местного значения на территории Кемеровской области"</w:t>
      </w:r>
    </w:p>
    <w:bookmarkEnd w:id="133"/>
    <w:p w:rsidR="00000000" w:rsidRDefault="00C906B7"/>
    <w:p w:rsidR="00000000" w:rsidRDefault="00C906B7">
      <w:pPr>
        <w:pStyle w:val="1"/>
      </w:pPr>
      <w:r>
        <w:t>Блок-сх</w:t>
      </w:r>
      <w:r>
        <w:t xml:space="preserve">ема </w:t>
      </w:r>
      <w:r>
        <w:br/>
        <w:t>предоставления государственной услуги</w:t>
      </w:r>
    </w:p>
    <w:p w:rsidR="00000000" w:rsidRDefault="00C906B7"/>
    <w:p w:rsidR="00000000" w:rsidRDefault="00C906B7">
      <w:bookmarkStart w:id="134" w:name="sub_99"/>
      <w:r>
        <w:t>1. Условные обозначения</w:t>
      </w:r>
    </w:p>
    <w:bookmarkEnd w:id="134"/>
    <w:p w:rsidR="00000000" w:rsidRDefault="00C906B7"/>
    <w:p w:rsidR="00000000" w:rsidRDefault="00524DA0">
      <w:r>
        <w:rPr>
          <w:noProof/>
        </w:rPr>
        <w:drawing>
          <wp:inline distT="0" distB="0" distL="0" distR="0">
            <wp:extent cx="5848350" cy="364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06B7">
      <w:bookmarkStart w:id="135" w:name="sub_100"/>
      <w:r>
        <w:t>2. Блок-схема структуры последовательности действий</w:t>
      </w:r>
    </w:p>
    <w:bookmarkEnd w:id="135"/>
    <w:p w:rsidR="00000000" w:rsidRDefault="00C906B7"/>
    <w:p w:rsidR="00000000" w:rsidRDefault="00524DA0">
      <w:r>
        <w:rPr>
          <w:noProof/>
        </w:rPr>
        <w:lastRenderedPageBreak/>
        <w:drawing>
          <wp:inline distT="0" distB="0" distL="0" distR="0">
            <wp:extent cx="5848350" cy="869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906B7">
      <w:pPr>
        <w:jc w:val="right"/>
      </w:pPr>
      <w:bookmarkStart w:id="136" w:name="sub_103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4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департамента природных ресурсов и экологии </w:t>
      </w:r>
      <w:r>
        <w:rPr>
          <w:rStyle w:val="a3"/>
        </w:rPr>
        <w:br/>
        <w:t>Кемеровской области по исполнению государственной услуги</w:t>
      </w:r>
      <w:r>
        <w:rPr>
          <w:rStyle w:val="a3"/>
        </w:rPr>
        <w:br/>
        <w:t xml:space="preserve"> "Проведение государственной экспертизы запасов</w:t>
      </w:r>
      <w:r>
        <w:rPr>
          <w:rStyle w:val="a3"/>
        </w:rPr>
        <w:br/>
        <w:t xml:space="preserve"> полезных ископаемых, геологической, экономической </w:t>
      </w:r>
      <w:r>
        <w:rPr>
          <w:rStyle w:val="a3"/>
        </w:rPr>
        <w:br/>
        <w:t>и экологиче</w:t>
      </w:r>
      <w:r>
        <w:rPr>
          <w:rStyle w:val="a3"/>
        </w:rPr>
        <w:t>ской информации о предоставляемых в пользование</w:t>
      </w:r>
      <w:r>
        <w:rPr>
          <w:rStyle w:val="a3"/>
        </w:rPr>
        <w:br/>
        <w:t xml:space="preserve"> участках недр местного значения на территории Кемеровской области"</w:t>
      </w:r>
    </w:p>
    <w:bookmarkEnd w:id="136"/>
    <w:p w:rsidR="00000000" w:rsidRDefault="00C906B7"/>
    <w:p w:rsidR="00000000" w:rsidRDefault="00C906B7">
      <w:pPr>
        <w:jc w:val="right"/>
      </w:pPr>
      <w:r>
        <w:t>Начальнику департамента природных ресурсов и экологии Кемеровской области</w:t>
      </w:r>
    </w:p>
    <w:p w:rsidR="00000000" w:rsidRDefault="00C906B7"/>
    <w:p w:rsidR="00000000" w:rsidRDefault="00C906B7">
      <w:pPr>
        <w:pStyle w:val="1"/>
      </w:pPr>
      <w:r>
        <w:t>Заявление</w:t>
      </w:r>
    </w:p>
    <w:p w:rsidR="00000000" w:rsidRDefault="00C906B7"/>
    <w:p w:rsidR="00000000" w:rsidRDefault="00C906B7">
      <w:pPr>
        <w:pStyle w:val="afff0"/>
      </w:pPr>
      <w:r>
        <w:t>Прошу провести государственную экспертизу запасов полезных ископаемых на ________________________________________________</w:t>
      </w:r>
    </w:p>
    <w:p w:rsidR="00000000" w:rsidRDefault="00C906B7">
      <w:pPr>
        <w:pStyle w:val="afff0"/>
      </w:pPr>
      <w:r>
        <w:t>(наименование месторождения, участка)</w:t>
      </w:r>
    </w:p>
    <w:p w:rsidR="00000000" w:rsidRDefault="00C906B7">
      <w:pPr>
        <w:pStyle w:val="afff0"/>
      </w:pPr>
      <w:r>
        <w:t>месторождении (участке), расположенном ________________________________________________</w:t>
      </w:r>
    </w:p>
    <w:p w:rsidR="00000000" w:rsidRDefault="00C906B7">
      <w:pPr>
        <w:pStyle w:val="afff0"/>
      </w:pPr>
      <w:r>
        <w:t>________</w:t>
      </w:r>
      <w:r>
        <w:t>________________________________________</w:t>
      </w:r>
    </w:p>
    <w:p w:rsidR="00000000" w:rsidRDefault="00C906B7">
      <w:pPr>
        <w:pStyle w:val="afff0"/>
      </w:pPr>
      <w:r>
        <w:t>(расстояние от ближайшего населенного пункта, сторона света, район области)</w:t>
      </w:r>
    </w:p>
    <w:p w:rsidR="00000000" w:rsidRDefault="00C906B7"/>
    <w:p w:rsidR="00000000" w:rsidRDefault="00C906B7">
      <w:pPr>
        <w:pStyle w:val="afff0"/>
      </w:pPr>
      <w:r>
        <w:t>К заявлению прилагаются:</w:t>
      </w:r>
    </w:p>
    <w:p w:rsidR="00000000" w:rsidRDefault="00C906B7">
      <w:pPr>
        <w:pStyle w:val="afff0"/>
      </w:pPr>
      <w:r>
        <w:t>1) ________________________________________________;</w:t>
      </w:r>
    </w:p>
    <w:p w:rsidR="00000000" w:rsidRDefault="00C906B7">
      <w:pPr>
        <w:pStyle w:val="afff0"/>
      </w:pPr>
      <w:r>
        <w:t>2) ________________________________________________;</w:t>
      </w:r>
    </w:p>
    <w:p w:rsidR="00000000" w:rsidRDefault="00C906B7">
      <w:pPr>
        <w:pStyle w:val="afff0"/>
      </w:pPr>
      <w:r>
        <w:t>3) ____</w:t>
      </w:r>
      <w:r>
        <w:t>____________________________________________.</w:t>
      </w:r>
    </w:p>
    <w:p w:rsidR="00000000" w:rsidRDefault="00C906B7"/>
    <w:p w:rsidR="00000000" w:rsidRDefault="00C906B7">
      <w:pPr>
        <w:pStyle w:val="afff0"/>
      </w:pPr>
      <w:r>
        <w:t>Заявитель</w:t>
      </w:r>
    </w:p>
    <w:p w:rsidR="00000000" w:rsidRDefault="00C906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3170"/>
        <w:gridCol w:w="3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__________________________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______________________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(подпись)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7"/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906B7">
            <w:pPr>
              <w:pStyle w:val="afff0"/>
            </w:pPr>
            <w:r>
              <w:t>(Ф.И.О.)</w:t>
            </w:r>
          </w:p>
        </w:tc>
      </w:tr>
    </w:tbl>
    <w:p w:rsidR="00000000" w:rsidRDefault="00C906B7"/>
    <w:p w:rsidR="00000000" w:rsidRDefault="00C906B7">
      <w:pPr>
        <w:pStyle w:val="afff0"/>
      </w:pPr>
      <w:r>
        <w:t>МП</w:t>
      </w:r>
      <w:hyperlink w:anchor="sub_106" w:history="1">
        <w:r>
          <w:rPr>
            <w:rStyle w:val="a4"/>
          </w:rPr>
          <w:t>*</w:t>
        </w:r>
      </w:hyperlink>
      <w:r>
        <w:t xml:space="preserve"> "___" ________________ 20__ г.</w:t>
      </w:r>
    </w:p>
    <w:p w:rsidR="00000000" w:rsidRDefault="00C906B7"/>
    <w:p w:rsidR="00000000" w:rsidRDefault="00C906B7">
      <w:pPr>
        <w:pStyle w:val="afff0"/>
      </w:pPr>
      <w:bookmarkStart w:id="137" w:name="sub_106"/>
      <w:r>
        <w:t>* Если заявление на фирменном бланке печать не требуется</w:t>
      </w:r>
    </w:p>
    <w:bookmarkEnd w:id="137"/>
    <w:p w:rsidR="00C906B7" w:rsidRDefault="00C906B7"/>
    <w:sectPr w:rsidR="00C906B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0"/>
    <w:rsid w:val="00524DA0"/>
    <w:rsid w:val="00C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49153.186" TargetMode="External"/><Relationship Id="rId13" Type="http://schemas.openxmlformats.org/officeDocument/2006/relationships/hyperlink" Target="garantF1://7449153.1306" TargetMode="External"/><Relationship Id="rId18" Type="http://schemas.openxmlformats.org/officeDocument/2006/relationships/hyperlink" Target="garantF1://7449153.1306" TargetMode="External"/><Relationship Id="rId26" Type="http://schemas.openxmlformats.org/officeDocument/2006/relationships/hyperlink" Target="garantF1://7413040.0" TargetMode="External"/><Relationship Id="rId39" Type="http://schemas.openxmlformats.org/officeDocument/2006/relationships/hyperlink" Target="garantF1://7449153.113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4313.0" TargetMode="External"/><Relationship Id="rId34" Type="http://schemas.openxmlformats.org/officeDocument/2006/relationships/hyperlink" Target="garantF1://7550654.43" TargetMode="External"/><Relationship Id="rId42" Type="http://schemas.openxmlformats.org/officeDocument/2006/relationships/image" Target="media/image1.png"/><Relationship Id="rId7" Type="http://schemas.openxmlformats.org/officeDocument/2006/relationships/hyperlink" Target="garantF1://7570164.0" TargetMode="External"/><Relationship Id="rId12" Type="http://schemas.openxmlformats.org/officeDocument/2006/relationships/hyperlink" Target="garantF1://7449153.535" TargetMode="External"/><Relationship Id="rId17" Type="http://schemas.openxmlformats.org/officeDocument/2006/relationships/hyperlink" Target="garantF1://7449153.22" TargetMode="External"/><Relationship Id="rId25" Type="http://schemas.openxmlformats.org/officeDocument/2006/relationships/hyperlink" Target="garantF1://7449722.0" TargetMode="External"/><Relationship Id="rId33" Type="http://schemas.openxmlformats.org/officeDocument/2006/relationships/hyperlink" Target="garantF1://7550654.36" TargetMode="External"/><Relationship Id="rId38" Type="http://schemas.openxmlformats.org/officeDocument/2006/relationships/hyperlink" Target="garantF1://7449153.8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5" TargetMode="External"/><Relationship Id="rId20" Type="http://schemas.openxmlformats.org/officeDocument/2006/relationships/hyperlink" Target="garantF1://7449153.1306" TargetMode="External"/><Relationship Id="rId29" Type="http://schemas.openxmlformats.org/officeDocument/2006/relationships/hyperlink" Target="garantF1://7444112.0" TargetMode="External"/><Relationship Id="rId41" Type="http://schemas.openxmlformats.org/officeDocument/2006/relationships/hyperlink" Target="garantF1://1203883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7550653.4" TargetMode="External"/><Relationship Id="rId24" Type="http://schemas.openxmlformats.org/officeDocument/2006/relationships/hyperlink" Target="garantF1://12085976.0" TargetMode="External"/><Relationship Id="rId32" Type="http://schemas.openxmlformats.org/officeDocument/2006/relationships/hyperlink" Target="garantF1://12038835.0" TargetMode="External"/><Relationship Id="rId37" Type="http://schemas.openxmlformats.org/officeDocument/2006/relationships/hyperlink" Target="garantF1://7449153.1306" TargetMode="External"/><Relationship Id="rId40" Type="http://schemas.openxmlformats.org/officeDocument/2006/relationships/hyperlink" Target="garantF1://7449153.535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7449153.815" TargetMode="External"/><Relationship Id="rId23" Type="http://schemas.openxmlformats.org/officeDocument/2006/relationships/hyperlink" Target="garantF1://12038835.0" TargetMode="External"/><Relationship Id="rId28" Type="http://schemas.openxmlformats.org/officeDocument/2006/relationships/hyperlink" Target="garantF1://7427305.0" TargetMode="External"/><Relationship Id="rId36" Type="http://schemas.openxmlformats.org/officeDocument/2006/relationships/hyperlink" Target="garantF1://7550654.98" TargetMode="External"/><Relationship Id="rId10" Type="http://schemas.openxmlformats.org/officeDocument/2006/relationships/hyperlink" Target="garantF1://7470190.5" TargetMode="External"/><Relationship Id="rId19" Type="http://schemas.openxmlformats.org/officeDocument/2006/relationships/hyperlink" Target="garantF1://7449153.1306" TargetMode="External"/><Relationship Id="rId31" Type="http://schemas.openxmlformats.org/officeDocument/2006/relationships/hyperlink" Target="garantF1://7550654.33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1306" TargetMode="External"/><Relationship Id="rId14" Type="http://schemas.openxmlformats.org/officeDocument/2006/relationships/hyperlink" Target="garantF1://7550654.8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7419720.0" TargetMode="External"/><Relationship Id="rId30" Type="http://schemas.openxmlformats.org/officeDocument/2006/relationships/hyperlink" Target="garantF1://2073355.0" TargetMode="External"/><Relationship Id="rId35" Type="http://schemas.openxmlformats.org/officeDocument/2006/relationships/hyperlink" Target="garantF1://2073355.0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2015-10-16T03:14:00Z</dcterms:created>
  <dcterms:modified xsi:type="dcterms:W3CDTF">2015-10-16T03:14:00Z</dcterms:modified>
</cp:coreProperties>
</file>